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BF6E" w14:textId="407C8B84" w:rsidR="003510BB" w:rsidRPr="00AD5EBB" w:rsidRDefault="002F2DE6" w:rsidP="00AD5EBB">
      <w:pPr>
        <w:pStyle w:val="Heading2"/>
        <w:rPr>
          <w:rFonts w:ascii="Arial" w:hAnsi="Arial" w:cs="Arial"/>
          <w:sz w:val="28"/>
          <w:szCs w:val="28"/>
        </w:rPr>
      </w:pPr>
      <w:bookmarkStart w:id="0" w:name="_Toc310597890"/>
      <w:r>
        <w:rPr>
          <w:rFonts w:ascii="Arial" w:hAnsi="Arial" w:cs="Arial"/>
          <w:sz w:val="28"/>
          <w:szCs w:val="28"/>
        </w:rPr>
        <w:t xml:space="preserve">Requiring </w:t>
      </w:r>
      <w:proofErr w:type="spellStart"/>
      <w:r>
        <w:rPr>
          <w:rFonts w:ascii="Arial" w:hAnsi="Arial" w:cs="Arial"/>
          <w:sz w:val="28"/>
          <w:szCs w:val="28"/>
        </w:rPr>
        <w:t>Nonconversion</w:t>
      </w:r>
      <w:proofErr w:type="spellEnd"/>
      <w:r>
        <w:rPr>
          <w:rFonts w:ascii="Arial" w:hAnsi="Arial" w:cs="Arial"/>
          <w:sz w:val="28"/>
          <w:szCs w:val="28"/>
        </w:rPr>
        <w:t xml:space="preserve"> Agreement for Enclosures Under Elevated Buildings</w:t>
      </w:r>
      <w:r w:rsidR="007C6727">
        <w:rPr>
          <w:rFonts w:ascii="Arial" w:hAnsi="Arial" w:cs="Arial"/>
          <w:sz w:val="28"/>
          <w:szCs w:val="28"/>
        </w:rPr>
        <w:t xml:space="preserve"> </w:t>
      </w:r>
      <w:r w:rsidR="003510BB" w:rsidRPr="00680D7D">
        <w:rPr>
          <w:rFonts w:ascii="Arial" w:hAnsi="Arial" w:cs="Arial"/>
          <w:sz w:val="28"/>
          <w:szCs w:val="28"/>
        </w:rPr>
        <w:t xml:space="preserve">– </w:t>
      </w:r>
      <w:bookmarkStart w:id="1" w:name="_Hlk22891799"/>
      <w:bookmarkEnd w:id="0"/>
      <w:r w:rsidR="00722E4D" w:rsidRPr="001F2848">
        <w:rPr>
          <w:rFonts w:ascii="Arial" w:hAnsi="Arial" w:cs="Arial"/>
          <w:b w:val="0"/>
          <w:sz w:val="28"/>
          <w:szCs w:val="28"/>
        </w:rPr>
        <w:t xml:space="preserve">local </w:t>
      </w:r>
      <w:r w:rsidR="00ED7E52">
        <w:rPr>
          <w:rFonts w:ascii="Arial" w:hAnsi="Arial" w:cs="Arial"/>
          <w:b w:val="0"/>
          <w:sz w:val="28"/>
          <w:szCs w:val="28"/>
        </w:rPr>
        <w:t xml:space="preserve">technical </w:t>
      </w:r>
      <w:r w:rsidR="00722E4D" w:rsidRPr="001F2848">
        <w:rPr>
          <w:rFonts w:ascii="Arial" w:hAnsi="Arial" w:cs="Arial"/>
          <w:b w:val="0"/>
          <w:sz w:val="28"/>
          <w:szCs w:val="28"/>
        </w:rPr>
        <w:t>code amendments (</w:t>
      </w:r>
      <w:r w:rsidR="00ED7E52">
        <w:rPr>
          <w:rFonts w:ascii="Arial" w:hAnsi="Arial" w:cs="Arial"/>
          <w:b w:val="0"/>
          <w:sz w:val="28"/>
          <w:szCs w:val="28"/>
        </w:rPr>
        <w:t>Part 2 building and Part 2.5 residential</w:t>
      </w:r>
      <w:r w:rsidR="00722E4D" w:rsidRPr="001F2848">
        <w:rPr>
          <w:rFonts w:ascii="Arial" w:hAnsi="Arial" w:cs="Arial"/>
          <w:b w:val="0"/>
          <w:sz w:val="28"/>
          <w:szCs w:val="28"/>
        </w:rPr>
        <w:t>)</w:t>
      </w:r>
      <w:r w:rsidR="00722E4D" w:rsidRPr="00680D7D">
        <w:rPr>
          <w:rFonts w:ascii="Arial" w:hAnsi="Arial" w:cs="Arial"/>
          <w:sz w:val="28"/>
          <w:szCs w:val="28"/>
        </w:rPr>
        <w:t xml:space="preserve"> </w:t>
      </w:r>
      <w:r w:rsidR="00722E4D" w:rsidRPr="009B7DC4">
        <w:rPr>
          <w:rFonts w:ascii="Arial" w:hAnsi="Arial" w:cs="Arial"/>
          <w:b w:val="0"/>
          <w:sz w:val="28"/>
          <w:szCs w:val="28"/>
        </w:rPr>
        <w:t>and floodplain management ordinance text changes</w:t>
      </w:r>
      <w:bookmarkEnd w:id="1"/>
      <w:r w:rsidR="009C5AE3" w:rsidRPr="00680D7D">
        <w:rPr>
          <w:rFonts w:ascii="Arial" w:hAnsi="Arial" w:cs="Arial"/>
          <w:sz w:val="28"/>
          <w:szCs w:val="28"/>
        </w:rPr>
        <w:t xml:space="preserve"> </w:t>
      </w:r>
    </w:p>
    <w:p w14:paraId="30BA74C0" w14:textId="2EA9677C" w:rsidR="00E63808" w:rsidRDefault="00E63808" w:rsidP="00E63808">
      <w:pPr>
        <w:rPr>
          <w:rFonts w:asciiTheme="minorHAnsi" w:hAnsiTheme="minorHAnsi" w:cstheme="minorHAnsi"/>
          <w:b/>
          <w:sz w:val="26"/>
          <w:szCs w:val="26"/>
        </w:rPr>
      </w:pPr>
      <w:bookmarkStart w:id="2" w:name="_Hlk22891220"/>
    </w:p>
    <w:p w14:paraId="708047DA" w14:textId="77777777" w:rsidR="00233088" w:rsidRDefault="00E63808" w:rsidP="00E63808">
      <w:pPr>
        <w:rPr>
          <w:rFonts w:asciiTheme="minorHAnsi" w:hAnsiTheme="minorHAnsi" w:cstheme="minorHAnsi"/>
          <w:b/>
          <w:sz w:val="26"/>
          <w:szCs w:val="26"/>
          <w:u w:val="single"/>
        </w:rPr>
      </w:pPr>
      <w:r>
        <w:rPr>
          <w:noProof/>
        </w:rPr>
        <mc:AlternateContent>
          <mc:Choice Requires="wps">
            <w:drawing>
              <wp:inline distT="0" distB="0" distL="0" distR="0" wp14:anchorId="1A4D4767" wp14:editId="61338865">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579F19C6" w14:textId="70BFC59F" w:rsidR="00E63808" w:rsidRDefault="00544708" w:rsidP="00E63808">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1C02FF">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sidR="009305E6">
                              <w:rPr>
                                <w:rStyle w:val="Hyperlink"/>
                                <w:rFonts w:asciiTheme="minorHAnsi" w:hAnsiTheme="minorHAnsi" w:cstheme="minorHAnsi"/>
                                <w:sz w:val="24"/>
                                <w:szCs w:val="24"/>
                                <w:u w:val="none"/>
                              </w:rPr>
                              <w:t xml:space="preserve"> or </w:t>
                            </w:r>
                            <w:hyperlink r:id="rId9" w:history="1">
                              <w:r w:rsidR="00BA1740" w:rsidRPr="00CD2DE7">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9305E6">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D2297B">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1A4D4767"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579F19C6" w14:textId="70BFC59F" w:rsidR="00E63808" w:rsidRDefault="00544708" w:rsidP="00E63808">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1C02FF">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sidR="009305E6">
                        <w:rPr>
                          <w:rStyle w:val="Hyperlink"/>
                          <w:rFonts w:asciiTheme="minorHAnsi" w:hAnsiTheme="minorHAnsi" w:cstheme="minorHAnsi"/>
                          <w:sz w:val="24"/>
                          <w:szCs w:val="24"/>
                          <w:u w:val="none"/>
                        </w:rPr>
                        <w:t xml:space="preserve"> or </w:t>
                      </w:r>
                      <w:hyperlink r:id="rId11" w:history="1">
                        <w:r w:rsidR="00BA1740" w:rsidRPr="00CD2DE7">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9305E6">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D2297B">
                        <w:rPr>
                          <w:rFonts w:asciiTheme="minorHAnsi" w:hAnsiTheme="minorHAnsi" w:cstheme="minorHAnsi"/>
                          <w:sz w:val="24"/>
                          <w:szCs w:val="24"/>
                        </w:rPr>
                        <w:t xml:space="preserve"> </w:t>
                      </w:r>
                    </w:p>
                  </w:txbxContent>
                </v:textbox>
                <w10:anchorlock/>
              </v:shape>
            </w:pict>
          </mc:Fallback>
        </mc:AlternateContent>
      </w:r>
    </w:p>
    <w:p w14:paraId="421B911D" w14:textId="77777777" w:rsidR="00233088" w:rsidRDefault="00233088" w:rsidP="00E63808">
      <w:pPr>
        <w:rPr>
          <w:rFonts w:asciiTheme="minorHAnsi" w:hAnsiTheme="minorHAnsi" w:cstheme="minorHAnsi"/>
          <w:b/>
          <w:sz w:val="26"/>
          <w:szCs w:val="26"/>
          <w:u w:val="single"/>
        </w:rPr>
      </w:pPr>
    </w:p>
    <w:p w14:paraId="7C1DB247" w14:textId="04516851" w:rsidR="00E63808" w:rsidRDefault="00E63808" w:rsidP="00E63808">
      <w:pPr>
        <w:rPr>
          <w:rFonts w:asciiTheme="minorHAnsi" w:hAnsiTheme="minorHAnsi" w:cstheme="minorHAnsi"/>
          <w:snapToGrid/>
          <w:sz w:val="26"/>
          <w:szCs w:val="26"/>
        </w:rPr>
      </w:pPr>
      <w:r>
        <w:rPr>
          <w:rFonts w:asciiTheme="minorHAnsi" w:hAnsiTheme="minorHAnsi" w:cstheme="minorHAnsi"/>
          <w:b/>
          <w:sz w:val="26"/>
          <w:szCs w:val="26"/>
          <w:u w:val="single"/>
        </w:rPr>
        <w:t>Before you start</w:t>
      </w:r>
      <w:r>
        <w:rPr>
          <w:rFonts w:asciiTheme="minorHAnsi" w:hAnsiTheme="minorHAnsi" w:cstheme="minorHAnsi"/>
          <w:b/>
          <w:sz w:val="26"/>
          <w:szCs w:val="26"/>
        </w:rPr>
        <w:t xml:space="preserve">:  </w:t>
      </w:r>
      <w:r>
        <w:rPr>
          <w:rFonts w:asciiTheme="minorHAnsi" w:hAnsiTheme="minorHAnsi" w:cstheme="minorHAnsi"/>
          <w:sz w:val="26"/>
          <w:szCs w:val="26"/>
        </w:rPr>
        <w:t>Review the General Instructions for Amending the California Building Standards Code (C</w:t>
      </w:r>
      <w:r w:rsidR="00ED7E52">
        <w:rPr>
          <w:rFonts w:asciiTheme="minorHAnsi" w:hAnsiTheme="minorHAnsi" w:cstheme="minorHAnsi"/>
          <w:sz w:val="26"/>
          <w:szCs w:val="26"/>
        </w:rPr>
        <w:t>C</w:t>
      </w:r>
      <w:r>
        <w:rPr>
          <w:rFonts w:asciiTheme="minorHAnsi" w:hAnsiTheme="minorHAnsi" w:cstheme="minorHAnsi"/>
          <w:sz w:val="26"/>
          <w:szCs w:val="26"/>
        </w:rPr>
        <w:t>R Title 24) to Adopt Higher Standards for Buildings and Development Located in Flood Hazard Areas.</w:t>
      </w:r>
    </w:p>
    <w:bookmarkEnd w:id="2"/>
    <w:p w14:paraId="2F0467D8" w14:textId="6BDB87CE" w:rsidR="004F5009" w:rsidRDefault="004F5009" w:rsidP="004F5009">
      <w:pPr>
        <w:rPr>
          <w:rFonts w:asciiTheme="minorHAnsi" w:hAnsiTheme="minorHAnsi" w:cstheme="minorHAnsi"/>
          <w:b/>
          <w:sz w:val="26"/>
          <w:szCs w:val="26"/>
        </w:rPr>
      </w:pPr>
    </w:p>
    <w:p w14:paraId="6A952E64" w14:textId="77777777" w:rsidR="00233088" w:rsidRDefault="00E040CF" w:rsidP="00233088">
      <w:pPr>
        <w:jc w:val="center"/>
        <w:rPr>
          <w:rFonts w:asciiTheme="minorHAnsi" w:hAnsiTheme="minorHAnsi" w:cstheme="minorHAnsi"/>
          <w:b/>
          <w:sz w:val="26"/>
          <w:szCs w:val="26"/>
          <w:u w:val="single"/>
        </w:rPr>
      </w:pPr>
      <w:r w:rsidRPr="00CF68D3">
        <w:rPr>
          <w:rFonts w:ascii="Arial" w:hAnsi="Arial" w:cs="Arial"/>
          <w:noProof/>
          <w:sz w:val="22"/>
          <w:szCs w:val="22"/>
        </w:rPr>
        <mc:AlternateContent>
          <mc:Choice Requires="wps">
            <w:drawing>
              <wp:inline distT="0" distB="0" distL="0" distR="0" wp14:anchorId="61BB3704" wp14:editId="746C85E2">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0C98924D" w14:textId="77777777" w:rsidR="002F2E51" w:rsidRDefault="002F2E51" w:rsidP="002F2E51">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61BB3704"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0C98924D" w14:textId="77777777" w:rsidR="002F2E51" w:rsidRDefault="002F2E51" w:rsidP="002F2E51">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3CBA2062" w14:textId="77777777" w:rsidR="00233088" w:rsidRDefault="00233088" w:rsidP="00981F77">
      <w:pPr>
        <w:rPr>
          <w:rFonts w:asciiTheme="minorHAnsi" w:hAnsiTheme="minorHAnsi" w:cstheme="minorHAnsi"/>
          <w:b/>
          <w:sz w:val="26"/>
          <w:szCs w:val="26"/>
          <w:u w:val="single"/>
        </w:rPr>
      </w:pPr>
    </w:p>
    <w:p w14:paraId="50D7CD9F" w14:textId="78219E12" w:rsidR="00981F77" w:rsidRPr="00981F77" w:rsidRDefault="00E63808" w:rsidP="00981F77">
      <w:pPr>
        <w:rPr>
          <w:rFonts w:asciiTheme="minorHAnsi" w:hAnsiTheme="minorHAnsi" w:cstheme="minorHAnsi"/>
          <w:sz w:val="26"/>
          <w:szCs w:val="26"/>
        </w:rPr>
      </w:pPr>
      <w:r w:rsidRPr="009F2B59">
        <w:rPr>
          <w:rFonts w:asciiTheme="minorHAnsi" w:hAnsiTheme="minorHAnsi" w:cstheme="minorHAnsi"/>
          <w:b/>
          <w:sz w:val="26"/>
          <w:szCs w:val="26"/>
          <w:u w:val="single"/>
        </w:rPr>
        <w:t>Description</w:t>
      </w:r>
      <w:bookmarkStart w:id="3" w:name="_Hlk22891277"/>
      <w:r>
        <w:rPr>
          <w:rStyle w:val="FootnoteReference"/>
          <w:rFonts w:asciiTheme="minorHAnsi" w:hAnsiTheme="minorHAnsi" w:cstheme="minorHAnsi"/>
          <w:b/>
          <w:sz w:val="26"/>
          <w:szCs w:val="26"/>
          <w:u w:val="single"/>
        </w:rPr>
        <w:footnoteReference w:id="1"/>
      </w:r>
      <w:bookmarkEnd w:id="3"/>
      <w:r w:rsidRPr="009F2B59">
        <w:rPr>
          <w:rFonts w:asciiTheme="minorHAnsi" w:hAnsiTheme="minorHAnsi" w:cstheme="minorHAnsi"/>
          <w:b/>
          <w:sz w:val="26"/>
          <w:szCs w:val="26"/>
        </w:rPr>
        <w:t>:</w:t>
      </w:r>
      <w:r w:rsidR="003510BB" w:rsidRPr="009F2B59">
        <w:rPr>
          <w:rFonts w:asciiTheme="minorHAnsi" w:hAnsiTheme="minorHAnsi" w:cstheme="minorHAnsi"/>
          <w:sz w:val="26"/>
          <w:szCs w:val="26"/>
        </w:rPr>
        <w:t xml:space="preserve">  </w:t>
      </w:r>
      <w:r w:rsidR="00981F77" w:rsidRPr="00981F77">
        <w:rPr>
          <w:rFonts w:asciiTheme="minorHAnsi" w:hAnsiTheme="minorHAnsi" w:cstheme="minorHAnsi"/>
          <w:sz w:val="26"/>
          <w:szCs w:val="26"/>
        </w:rPr>
        <w:t xml:space="preserve">The NFIP regulations and </w:t>
      </w:r>
      <w:r w:rsidR="0014508F">
        <w:rPr>
          <w:rFonts w:asciiTheme="minorHAnsi" w:hAnsiTheme="minorHAnsi" w:cstheme="minorHAnsi"/>
          <w:sz w:val="26"/>
          <w:szCs w:val="26"/>
        </w:rPr>
        <w:t>CCR Title 24</w:t>
      </w:r>
      <w:r w:rsidR="00981F77" w:rsidRPr="00981F77">
        <w:rPr>
          <w:rFonts w:asciiTheme="minorHAnsi" w:hAnsiTheme="minorHAnsi" w:cstheme="minorHAnsi"/>
          <w:sz w:val="26"/>
          <w:szCs w:val="26"/>
        </w:rPr>
        <w:t xml:space="preserve"> allow areas under elevated buildings to be enclosed with walls.  Any enclosed area must be limited to use for parking of vehicles, storage, and building access.  The NFIP regulations do not require any form of owner agreement regarding</w:t>
      </w:r>
      <w:r w:rsidR="00D45557">
        <w:rPr>
          <w:rFonts w:asciiTheme="minorHAnsi" w:hAnsiTheme="minorHAnsi" w:cstheme="minorHAnsi"/>
          <w:sz w:val="26"/>
          <w:szCs w:val="26"/>
        </w:rPr>
        <w:t xml:space="preserve"> subsequent </w:t>
      </w:r>
      <w:r w:rsidR="00981F77" w:rsidRPr="00981F77">
        <w:rPr>
          <w:rFonts w:asciiTheme="minorHAnsi" w:hAnsiTheme="minorHAnsi" w:cstheme="minorHAnsi"/>
          <w:sz w:val="26"/>
          <w:szCs w:val="26"/>
        </w:rPr>
        <w:t xml:space="preserve">modification or conversion of enclosures.  Walls of enclosed areas must meet specific requirements depending on the flood zone:  </w:t>
      </w:r>
    </w:p>
    <w:p w14:paraId="01F83C1C" w14:textId="2706F641" w:rsidR="00981F77" w:rsidRPr="00D45557" w:rsidRDefault="00981F77" w:rsidP="00D45557">
      <w:pPr>
        <w:pStyle w:val="ListParagraph"/>
        <w:numPr>
          <w:ilvl w:val="0"/>
          <w:numId w:val="21"/>
        </w:numPr>
        <w:rPr>
          <w:rFonts w:asciiTheme="minorHAnsi" w:hAnsiTheme="minorHAnsi" w:cstheme="minorHAnsi"/>
          <w:sz w:val="26"/>
          <w:szCs w:val="26"/>
        </w:rPr>
      </w:pPr>
      <w:r w:rsidRPr="00D45557">
        <w:rPr>
          <w:rFonts w:asciiTheme="minorHAnsi" w:hAnsiTheme="minorHAnsi" w:cstheme="minorHAnsi"/>
          <w:sz w:val="26"/>
          <w:szCs w:val="26"/>
        </w:rPr>
        <w:t xml:space="preserve">In </w:t>
      </w:r>
      <w:r w:rsidR="00D25B6A">
        <w:rPr>
          <w:rFonts w:asciiTheme="minorHAnsi" w:hAnsiTheme="minorHAnsi" w:cstheme="minorHAnsi"/>
          <w:sz w:val="26"/>
          <w:szCs w:val="26"/>
        </w:rPr>
        <w:t>flood zones that start with “A”</w:t>
      </w:r>
      <w:r w:rsidRPr="00D45557">
        <w:rPr>
          <w:rFonts w:asciiTheme="minorHAnsi" w:hAnsiTheme="minorHAnsi" w:cstheme="minorHAnsi"/>
          <w:sz w:val="26"/>
          <w:szCs w:val="26"/>
        </w:rPr>
        <w:t>, walls are required to have flood openings</w:t>
      </w:r>
      <w:r w:rsidR="00916991">
        <w:rPr>
          <w:rFonts w:asciiTheme="minorHAnsi" w:hAnsiTheme="minorHAnsi" w:cstheme="minorHAnsi"/>
          <w:sz w:val="26"/>
          <w:szCs w:val="26"/>
        </w:rPr>
        <w:t>.</w:t>
      </w:r>
      <w:r w:rsidRPr="00D45557">
        <w:rPr>
          <w:rFonts w:asciiTheme="minorHAnsi" w:hAnsiTheme="minorHAnsi" w:cstheme="minorHAnsi"/>
          <w:sz w:val="26"/>
          <w:szCs w:val="26"/>
        </w:rPr>
        <w:t xml:space="preserve"> </w:t>
      </w:r>
    </w:p>
    <w:p w14:paraId="2B26AE81" w14:textId="1A882638" w:rsidR="00981F77" w:rsidRPr="00D45557" w:rsidRDefault="00981F77" w:rsidP="00D45557">
      <w:pPr>
        <w:pStyle w:val="ListParagraph"/>
        <w:numPr>
          <w:ilvl w:val="0"/>
          <w:numId w:val="21"/>
        </w:numPr>
        <w:rPr>
          <w:rFonts w:asciiTheme="minorHAnsi" w:hAnsiTheme="minorHAnsi" w:cstheme="minorHAnsi"/>
          <w:sz w:val="26"/>
          <w:szCs w:val="26"/>
        </w:rPr>
      </w:pPr>
      <w:r w:rsidRPr="00D45557">
        <w:rPr>
          <w:rFonts w:asciiTheme="minorHAnsi" w:hAnsiTheme="minorHAnsi" w:cstheme="minorHAnsi"/>
          <w:sz w:val="26"/>
          <w:szCs w:val="26"/>
        </w:rPr>
        <w:t>In Zone V</w:t>
      </w:r>
      <w:r w:rsidR="00D25B6A">
        <w:rPr>
          <w:rFonts w:asciiTheme="minorHAnsi" w:hAnsiTheme="minorHAnsi" w:cstheme="minorHAnsi"/>
          <w:sz w:val="26"/>
          <w:szCs w:val="26"/>
        </w:rPr>
        <w:t>/VE</w:t>
      </w:r>
      <w:r w:rsidRPr="00D45557">
        <w:rPr>
          <w:rFonts w:asciiTheme="minorHAnsi" w:hAnsiTheme="minorHAnsi" w:cstheme="minorHAnsi"/>
          <w:sz w:val="26"/>
          <w:szCs w:val="26"/>
        </w:rPr>
        <w:t xml:space="preserve"> and Coastal A Zones (CAZ), walls are required to break away under certain flood loads and must also have flood openings.  </w:t>
      </w:r>
    </w:p>
    <w:p w14:paraId="434B27BC" w14:textId="77777777" w:rsidR="00981F77" w:rsidRDefault="00981F77" w:rsidP="00981F77">
      <w:pPr>
        <w:rPr>
          <w:rFonts w:asciiTheme="minorHAnsi" w:hAnsiTheme="minorHAnsi" w:cstheme="minorHAnsi"/>
          <w:sz w:val="26"/>
          <w:szCs w:val="26"/>
        </w:rPr>
      </w:pPr>
    </w:p>
    <w:p w14:paraId="6566234A" w14:textId="4655F969" w:rsidR="00831D95" w:rsidRPr="009F2B59" w:rsidRDefault="00981F77" w:rsidP="00981F77">
      <w:pPr>
        <w:rPr>
          <w:rFonts w:asciiTheme="minorHAnsi" w:hAnsiTheme="minorHAnsi" w:cstheme="minorHAnsi"/>
          <w:sz w:val="26"/>
          <w:szCs w:val="26"/>
        </w:rPr>
      </w:pPr>
      <w:r w:rsidRPr="00981F77">
        <w:rPr>
          <w:rFonts w:asciiTheme="minorHAnsi" w:hAnsiTheme="minorHAnsi" w:cstheme="minorHAnsi"/>
          <w:sz w:val="26"/>
          <w:szCs w:val="26"/>
        </w:rPr>
        <w:t xml:space="preserve">NFIP flood insurance coverage (structure and contents) is more expensive if buildings have enclosed areas and coverage of enclosures is limited.  In </w:t>
      </w:r>
      <w:r w:rsidR="00D25B6A">
        <w:rPr>
          <w:rFonts w:asciiTheme="minorHAnsi" w:hAnsiTheme="minorHAnsi" w:cstheme="minorHAnsi"/>
          <w:sz w:val="26"/>
          <w:szCs w:val="26"/>
        </w:rPr>
        <w:t>Zone V/VE</w:t>
      </w:r>
      <w:r w:rsidRPr="00981F77">
        <w:rPr>
          <w:rFonts w:asciiTheme="minorHAnsi" w:hAnsiTheme="minorHAnsi" w:cstheme="minorHAnsi"/>
          <w:sz w:val="26"/>
          <w:szCs w:val="26"/>
        </w:rPr>
        <w:t>, buildings with enclosures larger than 300 square feet in area are charged more than buildings with smaller enclosures.</w:t>
      </w:r>
      <w:r w:rsidR="00D45557" w:rsidRPr="00D45557">
        <w:rPr>
          <w:rFonts w:ascii="Arial" w:hAnsi="Arial" w:cs="Arial"/>
          <w:noProof/>
          <w:sz w:val="22"/>
          <w:szCs w:val="22"/>
        </w:rPr>
        <w:t xml:space="preserve"> </w:t>
      </w:r>
    </w:p>
    <w:p w14:paraId="1E492446" w14:textId="5912B23F" w:rsidR="00981F77" w:rsidRDefault="00981F77" w:rsidP="00981F77">
      <w:pPr>
        <w:rPr>
          <w:rFonts w:asciiTheme="minorHAnsi" w:hAnsiTheme="minorHAnsi" w:cstheme="minorHAnsi"/>
          <w:sz w:val="26"/>
          <w:szCs w:val="26"/>
        </w:rPr>
      </w:pPr>
    </w:p>
    <w:p w14:paraId="4FB76816" w14:textId="77777777" w:rsidR="00233088" w:rsidRDefault="00D45557" w:rsidP="00233088">
      <w:pPr>
        <w:pStyle w:val="BodyText"/>
        <w:jc w:val="center"/>
        <w:rPr>
          <w:rFonts w:asciiTheme="minorHAnsi" w:hAnsiTheme="minorHAnsi" w:cstheme="minorHAnsi"/>
          <w:snapToGrid w:val="0"/>
          <w:sz w:val="26"/>
          <w:szCs w:val="26"/>
        </w:rPr>
      </w:pPr>
      <w:r w:rsidRPr="002D7F25">
        <w:rPr>
          <w:rFonts w:ascii="Arial" w:hAnsi="Arial" w:cs="Arial"/>
          <w:noProof/>
          <w:szCs w:val="22"/>
        </w:rPr>
        <mc:AlternateContent>
          <mc:Choice Requires="wps">
            <w:drawing>
              <wp:inline distT="0" distB="0" distL="0" distR="0" wp14:anchorId="1831BBA6" wp14:editId="34E5C1EE">
                <wp:extent cx="4572000" cy="1404620"/>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209DDA7F" w14:textId="58D6FD19" w:rsidR="00D45557" w:rsidRPr="00AF4274" w:rsidRDefault="00D45557" w:rsidP="00D45557">
                            <w:pPr>
                              <w:rPr>
                                <w:rFonts w:asciiTheme="minorHAnsi" w:hAnsiTheme="minorHAnsi" w:cstheme="minorHAnsi"/>
                                <w:sz w:val="22"/>
                                <w:szCs w:val="22"/>
                              </w:rPr>
                            </w:pPr>
                            <w:r w:rsidRPr="00D45557">
                              <w:rPr>
                                <w:rFonts w:asciiTheme="minorHAnsi" w:hAnsiTheme="minorHAnsi" w:cstheme="minorHAnsi"/>
                                <w:b/>
                                <w:sz w:val="22"/>
                                <w:szCs w:val="22"/>
                              </w:rPr>
                              <w:t>Inspection of Enclosures</w:t>
                            </w:r>
                            <w:r w:rsidRPr="00D45557">
                              <w:rPr>
                                <w:rFonts w:asciiTheme="minorHAnsi" w:hAnsiTheme="minorHAnsi" w:cstheme="minorHAnsi"/>
                                <w:sz w:val="22"/>
                                <w:szCs w:val="22"/>
                              </w:rPr>
                              <w:t xml:space="preserve">. Some communities use </w:t>
                            </w:r>
                            <w:proofErr w:type="spellStart"/>
                            <w:r w:rsidRPr="00D45557">
                              <w:rPr>
                                <w:rFonts w:asciiTheme="minorHAnsi" w:hAnsiTheme="minorHAnsi" w:cstheme="minorHAnsi"/>
                                <w:sz w:val="22"/>
                                <w:szCs w:val="22"/>
                              </w:rPr>
                              <w:t>nonconversion</w:t>
                            </w:r>
                            <w:proofErr w:type="spellEnd"/>
                            <w:r w:rsidRPr="00D45557">
                              <w:rPr>
                                <w:rFonts w:asciiTheme="minorHAnsi" w:hAnsiTheme="minorHAnsi" w:cstheme="minorHAnsi"/>
                                <w:sz w:val="22"/>
                                <w:szCs w:val="22"/>
                              </w:rPr>
                              <w:t xml:space="preserve"> agreements that specify the community has the right to periodically inspect inside of enclosures.</w:t>
                            </w:r>
                          </w:p>
                        </w:txbxContent>
                      </wps:txbx>
                      <wps:bodyPr rot="0" vert="horz" wrap="square" lIns="91440" tIns="45720" rIns="91440" bIns="45720" anchor="t" anchorCtr="0">
                        <a:spAutoFit/>
                      </wps:bodyPr>
                    </wps:wsp>
                  </a:graphicData>
                </a:graphic>
              </wp:inline>
            </w:drawing>
          </mc:Choice>
          <mc:Fallback>
            <w:pict>
              <v:shape w14:anchorId="1831BBA6" id="_x0000_s1028"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xlKAIAAE4EAAAOAAAAZHJzL2Uyb0RvYy54bWysVNuO2yAQfa/Uf0C8N46jZC9WnNU221SV&#10;thdptx8wxjhGxQwFEjv9+g44SdOt+lLVDwiY4XDmHMbLu6HTbC+dV2hKnk+mnEkjsFZmW/Kvz5s3&#10;N5z5AKYGjUaW/CA9v1u9frXsbSFn2KKupWMEYnzR25K3Idgiy7xoZQd+glYaCjboOgi0dNusdtAT&#10;eqez2XR6lfXoautQSO9p92EM8lXCbxopwuem8TIwXXLiFtLo0ljFMVstodg6sK0SRxrwDyw6UIYu&#10;PUM9QAC2c+oPqE4Jhx6bMBHYZdg0SshUA1WTT19U89SClakWEsfbs0z+/8GKT/svjqm65LP8mjMD&#10;HZn0LIfA3uLAZlGf3vqC0p4sJYaBtsnnVKu3jyi+eWZw3YLZynvnsG8l1MQvjyezi6Mjjo8gVf8R&#10;a7oGdgET0NC4LopHcjBCJ58OZ28iFUGb88U1+U0hQbF8Pp1fzZJ7GRSn49b58F5ix+Kk5I7MT/Cw&#10;f/Qh0oHilBJv86hVvVFap4XbVmvt2B7ooWzSlyp4kaYN60t+u5gtRgX+CkFUI9vx1t9u6lSgF69V&#10;V/KbcxIUUbd3pqYDUARQepwTZW2OQkbtRhXDUA2jZyd/KqwPpKzD8YFTQ9KkRfeDs54ed8n99x04&#10;yZn+YMid23w+j92QFklZztxlpLqMgBEEVfLA2Thdh9RBSTd7Ty5uVNI32j0yOVKmR5tkPzZY7IrL&#10;dcr69RtY/QQAAP//AwBQSwMEFAAGAAgAAAAhAOrpxL7bAAAABQEAAA8AAABkcnMvZG93bnJldi54&#10;bWxMj81OwzAQhO9IvIO1lbhRp5H4UYhTVVQ9U0olxM2xt3HUeB1iN015ehYucBlpNauZb8rl5Dsx&#10;4hDbQAoW8wwEkgm2pUbB/m1z+wgiJk1Wd4FQwQUjLKvrq1IXNpzpFcddagSHUCy0ApdSX0gZjUOv&#10;4zz0SOwdwuB14nNopB30mcN9J/Msu5det8QNTvf47NAcdyevIK63n705bOujs5evl/V4Z943H0rd&#10;zKbVE4iEU/p7hh98RoeKmepwIhtFp4CHpF9l74GrQNQK8nyRg6xK+Z+++gYAAP//AwBQSwECLQAU&#10;AAYACAAAACEAtoM4kv4AAADhAQAAEwAAAAAAAAAAAAAAAAAAAAAAW0NvbnRlbnRfVHlwZXNdLnht&#10;bFBLAQItABQABgAIAAAAIQA4/SH/1gAAAJQBAAALAAAAAAAAAAAAAAAAAC8BAABfcmVscy8ucmVs&#10;c1BLAQItABQABgAIAAAAIQDdNwxlKAIAAE4EAAAOAAAAAAAAAAAAAAAAAC4CAABkcnMvZTJvRG9j&#10;LnhtbFBLAQItABQABgAIAAAAIQDq6cS+2wAAAAUBAAAPAAAAAAAAAAAAAAAAAIIEAABkcnMvZG93&#10;bnJldi54bWxQSwUGAAAAAAQABADzAAAAigUAAAAA&#10;">
                <v:textbox style="mso-fit-shape-to-text:t">
                  <w:txbxContent>
                    <w:p w14:paraId="209DDA7F" w14:textId="58D6FD19" w:rsidR="00D45557" w:rsidRPr="00AF4274" w:rsidRDefault="00D45557" w:rsidP="00D45557">
                      <w:pPr>
                        <w:rPr>
                          <w:rFonts w:asciiTheme="minorHAnsi" w:hAnsiTheme="minorHAnsi" w:cstheme="minorHAnsi"/>
                          <w:sz w:val="22"/>
                          <w:szCs w:val="22"/>
                        </w:rPr>
                      </w:pPr>
                      <w:r w:rsidRPr="00D45557">
                        <w:rPr>
                          <w:rFonts w:asciiTheme="minorHAnsi" w:hAnsiTheme="minorHAnsi" w:cstheme="minorHAnsi"/>
                          <w:b/>
                          <w:sz w:val="22"/>
                          <w:szCs w:val="22"/>
                        </w:rPr>
                        <w:t>Inspection of Enclosures</w:t>
                      </w:r>
                      <w:r w:rsidRPr="00D45557">
                        <w:rPr>
                          <w:rFonts w:asciiTheme="minorHAnsi" w:hAnsiTheme="minorHAnsi" w:cstheme="minorHAnsi"/>
                          <w:sz w:val="22"/>
                          <w:szCs w:val="22"/>
                        </w:rPr>
                        <w:t xml:space="preserve">. Some communities use </w:t>
                      </w:r>
                      <w:proofErr w:type="spellStart"/>
                      <w:r w:rsidRPr="00D45557">
                        <w:rPr>
                          <w:rFonts w:asciiTheme="minorHAnsi" w:hAnsiTheme="minorHAnsi" w:cstheme="minorHAnsi"/>
                          <w:sz w:val="22"/>
                          <w:szCs w:val="22"/>
                        </w:rPr>
                        <w:t>nonconversion</w:t>
                      </w:r>
                      <w:proofErr w:type="spellEnd"/>
                      <w:r w:rsidRPr="00D45557">
                        <w:rPr>
                          <w:rFonts w:asciiTheme="minorHAnsi" w:hAnsiTheme="minorHAnsi" w:cstheme="minorHAnsi"/>
                          <w:sz w:val="22"/>
                          <w:szCs w:val="22"/>
                        </w:rPr>
                        <w:t xml:space="preserve"> agreements that specify the community has the right to periodically inspect inside of enclosures.</w:t>
                      </w:r>
                    </w:p>
                  </w:txbxContent>
                </v:textbox>
                <w10:anchorlock/>
              </v:shape>
            </w:pict>
          </mc:Fallback>
        </mc:AlternateContent>
      </w:r>
    </w:p>
    <w:p w14:paraId="279A2965" w14:textId="63806534" w:rsidR="002F2DE6" w:rsidRPr="00D45557" w:rsidRDefault="00981F77" w:rsidP="00D45557">
      <w:pPr>
        <w:pStyle w:val="BodyText"/>
        <w:rPr>
          <w:rFonts w:asciiTheme="minorHAnsi" w:hAnsiTheme="minorHAnsi" w:cstheme="minorHAnsi"/>
          <w:snapToGrid w:val="0"/>
          <w:sz w:val="26"/>
          <w:szCs w:val="26"/>
        </w:rPr>
      </w:pPr>
      <w:r w:rsidRPr="00981F77">
        <w:rPr>
          <w:rFonts w:asciiTheme="minorHAnsi" w:hAnsiTheme="minorHAnsi" w:cstheme="minorHAnsi"/>
          <w:snapToGrid w:val="0"/>
          <w:sz w:val="26"/>
          <w:szCs w:val="26"/>
        </w:rPr>
        <w:lastRenderedPageBreak/>
        <w:t xml:space="preserve">Some communities require property owners to sign </w:t>
      </w:r>
      <w:proofErr w:type="spellStart"/>
      <w:r w:rsidRPr="00981F77">
        <w:rPr>
          <w:rFonts w:asciiTheme="minorHAnsi" w:hAnsiTheme="minorHAnsi" w:cstheme="minorHAnsi"/>
          <w:snapToGrid w:val="0"/>
          <w:sz w:val="26"/>
          <w:szCs w:val="26"/>
        </w:rPr>
        <w:t>nonconversion</w:t>
      </w:r>
      <w:proofErr w:type="spellEnd"/>
      <w:r w:rsidRPr="00981F77">
        <w:rPr>
          <w:rFonts w:asciiTheme="minorHAnsi" w:hAnsiTheme="minorHAnsi" w:cstheme="minorHAnsi"/>
          <w:snapToGrid w:val="0"/>
          <w:sz w:val="26"/>
          <w:szCs w:val="26"/>
        </w:rPr>
        <w:t xml:space="preserve"> agreements to acknowledge the restrictions on use of enclosures below elevated buildings and to agree not to modify or convert the enclosures. The objective is to reduce the likelihood that owners, including future owners, might convert enclosures to uses other than permitted uses of parking of vehicles, storage, and building access. Usually, </w:t>
      </w:r>
      <w:proofErr w:type="spellStart"/>
      <w:r w:rsidRPr="00981F77">
        <w:rPr>
          <w:rFonts w:asciiTheme="minorHAnsi" w:hAnsiTheme="minorHAnsi" w:cstheme="minorHAnsi"/>
          <w:snapToGrid w:val="0"/>
          <w:sz w:val="26"/>
          <w:szCs w:val="26"/>
        </w:rPr>
        <w:t>nonconversion</w:t>
      </w:r>
      <w:proofErr w:type="spellEnd"/>
      <w:r w:rsidRPr="00981F77">
        <w:rPr>
          <w:rFonts w:asciiTheme="minorHAnsi" w:hAnsiTheme="minorHAnsi" w:cstheme="minorHAnsi"/>
          <w:snapToGrid w:val="0"/>
          <w:sz w:val="26"/>
          <w:szCs w:val="26"/>
        </w:rPr>
        <w:t xml:space="preserve"> agreements are required to be </w:t>
      </w:r>
      <w:r w:rsidRPr="00DC70DE">
        <w:rPr>
          <w:rFonts w:asciiTheme="minorHAnsi" w:hAnsiTheme="minorHAnsi" w:cstheme="minorHAnsi"/>
          <w:snapToGrid w:val="0"/>
          <w:sz w:val="26"/>
          <w:szCs w:val="26"/>
        </w:rPr>
        <w:t xml:space="preserve">recorded on or with property deeds and other property records to inform future owners of the use limitations. </w:t>
      </w:r>
      <w:r w:rsidR="002F2DE6" w:rsidRPr="00DC70DE">
        <w:rPr>
          <w:rFonts w:asciiTheme="minorHAnsi" w:hAnsiTheme="minorHAnsi" w:cstheme="minorHAnsi"/>
          <w:snapToGrid w:val="0"/>
          <w:sz w:val="26"/>
          <w:szCs w:val="26"/>
        </w:rPr>
        <w:t xml:space="preserve">California </w:t>
      </w:r>
      <w:r w:rsidR="003C1CCF" w:rsidRPr="00DC70DE">
        <w:rPr>
          <w:rFonts w:asciiTheme="minorHAnsi" w:hAnsiTheme="minorHAnsi" w:cstheme="minorHAnsi"/>
          <w:snapToGrid w:val="0"/>
          <w:sz w:val="26"/>
          <w:szCs w:val="26"/>
        </w:rPr>
        <w:t xml:space="preserve">Department of Water Resources </w:t>
      </w:r>
      <w:r w:rsidR="002F2E51" w:rsidRPr="00DC70DE">
        <w:rPr>
          <w:rFonts w:asciiTheme="minorHAnsi" w:hAnsiTheme="minorHAnsi" w:cstheme="minorHAnsi"/>
          <w:snapToGrid w:val="0"/>
          <w:sz w:val="26"/>
          <w:szCs w:val="26"/>
        </w:rPr>
        <w:t xml:space="preserve">offers </w:t>
      </w:r>
      <w:r w:rsidR="002F2DE6" w:rsidRPr="00DC70DE">
        <w:rPr>
          <w:rFonts w:asciiTheme="minorHAnsi" w:hAnsiTheme="minorHAnsi" w:cstheme="minorHAnsi"/>
          <w:snapToGrid w:val="0"/>
          <w:sz w:val="26"/>
          <w:szCs w:val="26"/>
        </w:rPr>
        <w:t>a</w:t>
      </w:r>
      <w:r w:rsidRPr="00DC70DE">
        <w:rPr>
          <w:rFonts w:asciiTheme="minorHAnsi" w:hAnsiTheme="minorHAnsi" w:cstheme="minorHAnsi"/>
          <w:snapToGrid w:val="0"/>
          <w:sz w:val="26"/>
          <w:szCs w:val="26"/>
        </w:rPr>
        <w:t xml:space="preserve"> sample </w:t>
      </w:r>
      <w:proofErr w:type="spellStart"/>
      <w:r w:rsidRPr="00DC70DE">
        <w:rPr>
          <w:rFonts w:asciiTheme="minorHAnsi" w:hAnsiTheme="minorHAnsi" w:cstheme="minorHAnsi"/>
          <w:snapToGrid w:val="0"/>
          <w:sz w:val="26"/>
          <w:szCs w:val="26"/>
        </w:rPr>
        <w:t>nonconversion</w:t>
      </w:r>
      <w:proofErr w:type="spellEnd"/>
      <w:r w:rsidRPr="00DC70DE">
        <w:rPr>
          <w:rFonts w:asciiTheme="minorHAnsi" w:hAnsiTheme="minorHAnsi" w:cstheme="minorHAnsi"/>
          <w:snapToGrid w:val="0"/>
          <w:sz w:val="26"/>
          <w:szCs w:val="26"/>
        </w:rPr>
        <w:t xml:space="preserve"> agreement</w:t>
      </w:r>
      <w:r w:rsidR="00DC70DE" w:rsidRPr="00DC70DE">
        <w:rPr>
          <w:rFonts w:asciiTheme="minorHAnsi" w:hAnsiTheme="minorHAnsi" w:cstheme="minorHAnsi"/>
          <w:snapToGrid w:val="0"/>
          <w:sz w:val="26"/>
          <w:szCs w:val="26"/>
        </w:rPr>
        <w:t xml:space="preserve"> that can be modified to suit each community’s needs (a sample is also available in CRS Resources)</w:t>
      </w:r>
      <w:r w:rsidRPr="00DC70DE">
        <w:rPr>
          <w:rFonts w:asciiTheme="minorHAnsi" w:hAnsiTheme="minorHAnsi" w:cstheme="minorHAnsi"/>
          <w:snapToGrid w:val="0"/>
          <w:sz w:val="26"/>
          <w:szCs w:val="26"/>
        </w:rPr>
        <w:t xml:space="preserve">. As with all legal documents, communities should have </w:t>
      </w:r>
      <w:proofErr w:type="spellStart"/>
      <w:r w:rsidRPr="00DC70DE">
        <w:rPr>
          <w:rFonts w:asciiTheme="minorHAnsi" w:hAnsiTheme="minorHAnsi" w:cstheme="minorHAnsi"/>
          <w:snapToGrid w:val="0"/>
          <w:sz w:val="26"/>
          <w:szCs w:val="26"/>
        </w:rPr>
        <w:t>nonconversion</w:t>
      </w:r>
      <w:proofErr w:type="spellEnd"/>
      <w:r w:rsidRPr="00DC70DE">
        <w:rPr>
          <w:rFonts w:asciiTheme="minorHAnsi" w:hAnsiTheme="minorHAnsi" w:cstheme="minorHAnsi"/>
          <w:snapToGrid w:val="0"/>
          <w:sz w:val="26"/>
          <w:szCs w:val="26"/>
        </w:rPr>
        <w:t xml:space="preserve"> agreement forms reviewed for legal</w:t>
      </w:r>
      <w:r w:rsidRPr="00981F77">
        <w:rPr>
          <w:rFonts w:asciiTheme="minorHAnsi" w:hAnsiTheme="minorHAnsi" w:cstheme="minorHAnsi"/>
          <w:snapToGrid w:val="0"/>
          <w:sz w:val="26"/>
          <w:szCs w:val="26"/>
        </w:rPr>
        <w:t xml:space="preserve"> sufficiency. </w:t>
      </w:r>
    </w:p>
    <w:p w14:paraId="1C64D7D2" w14:textId="56C55152" w:rsidR="00076A36" w:rsidRPr="009F2B59" w:rsidRDefault="009C5AE3" w:rsidP="000225FA">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ED7E52">
        <w:rPr>
          <w:rFonts w:asciiTheme="minorHAnsi" w:hAnsiTheme="minorHAnsi" w:cstheme="minorHAnsi"/>
          <w:b/>
          <w:sz w:val="26"/>
          <w:szCs w:val="26"/>
          <w:u w:val="single"/>
        </w:rPr>
        <w:t>Part 2 (building)</w:t>
      </w:r>
      <w:r w:rsidRPr="009F2B59">
        <w:rPr>
          <w:rFonts w:asciiTheme="minorHAnsi" w:hAnsiTheme="minorHAnsi" w:cstheme="minorHAnsi"/>
          <w:b/>
          <w:sz w:val="26"/>
          <w:szCs w:val="26"/>
          <w:u w:val="single"/>
        </w:rPr>
        <w:t xml:space="preserve"> </w:t>
      </w:r>
      <w:r w:rsidR="002F2DE6">
        <w:rPr>
          <w:rFonts w:asciiTheme="minorHAnsi" w:hAnsiTheme="minorHAnsi" w:cstheme="minorHAnsi"/>
          <w:b/>
          <w:sz w:val="26"/>
          <w:szCs w:val="26"/>
          <w:u w:val="single"/>
        </w:rPr>
        <w:t>addresses enclosures, by reference to ASCE 24</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ED7E52">
        <w:rPr>
          <w:rFonts w:asciiTheme="minorHAnsi" w:hAnsiTheme="minorHAnsi" w:cstheme="minorHAnsi"/>
          <w:sz w:val="26"/>
          <w:szCs w:val="26"/>
        </w:rPr>
        <w:t>Part 2 (building)</w:t>
      </w:r>
      <w:r w:rsidR="002F2DE6">
        <w:rPr>
          <w:rFonts w:asciiTheme="minorHAnsi" w:hAnsiTheme="minorHAnsi" w:cstheme="minorHAnsi"/>
          <w:sz w:val="26"/>
          <w:szCs w:val="26"/>
        </w:rPr>
        <w:t xml:space="preserve">, </w:t>
      </w:r>
      <w:r w:rsidR="002F2DE6" w:rsidRPr="002F2DE6">
        <w:rPr>
          <w:rFonts w:asciiTheme="minorHAnsi" w:hAnsiTheme="minorHAnsi" w:cstheme="minorHAnsi"/>
          <w:sz w:val="26"/>
          <w:szCs w:val="26"/>
        </w:rPr>
        <w:t xml:space="preserve">by reference to ASCE 24, includes the basic, NFIP-consistent requirements for enclosed areas and walls below elevated buildings.  Requirements for enclosures under buildings in </w:t>
      </w:r>
      <w:r w:rsidR="00D25B6A">
        <w:rPr>
          <w:rFonts w:asciiTheme="minorHAnsi" w:hAnsiTheme="minorHAnsi" w:cstheme="minorHAnsi"/>
          <w:sz w:val="26"/>
          <w:szCs w:val="26"/>
        </w:rPr>
        <w:t xml:space="preserve">flood zones that start with “A” </w:t>
      </w:r>
      <w:r w:rsidR="002F2DE6" w:rsidRPr="002F2DE6">
        <w:rPr>
          <w:rFonts w:asciiTheme="minorHAnsi" w:hAnsiTheme="minorHAnsi" w:cstheme="minorHAnsi"/>
          <w:sz w:val="26"/>
          <w:szCs w:val="26"/>
        </w:rPr>
        <w:t xml:space="preserve">are in ASCE 24 Section 2.6 and requirements for </w:t>
      </w:r>
      <w:r w:rsidR="00D25B6A">
        <w:rPr>
          <w:rFonts w:asciiTheme="minorHAnsi" w:hAnsiTheme="minorHAnsi" w:cstheme="minorHAnsi"/>
          <w:sz w:val="26"/>
          <w:szCs w:val="26"/>
        </w:rPr>
        <w:t>Zone V/VE</w:t>
      </w:r>
      <w:r w:rsidR="002F2DE6" w:rsidRPr="002F2DE6">
        <w:rPr>
          <w:rFonts w:asciiTheme="minorHAnsi" w:hAnsiTheme="minorHAnsi" w:cstheme="minorHAnsi"/>
          <w:sz w:val="26"/>
          <w:szCs w:val="26"/>
        </w:rPr>
        <w:t xml:space="preserve"> and CAZ are in ASCE 24 Section 4.6.</w:t>
      </w:r>
      <w:r w:rsidR="00076A36" w:rsidRPr="009F2B59">
        <w:rPr>
          <w:rFonts w:asciiTheme="minorHAnsi" w:hAnsiTheme="minorHAnsi" w:cstheme="minorHAnsi"/>
          <w:sz w:val="26"/>
          <w:szCs w:val="26"/>
        </w:rPr>
        <w:t xml:space="preserve"> </w:t>
      </w:r>
    </w:p>
    <w:p w14:paraId="63B85E71" w14:textId="77777777" w:rsidR="004F6805" w:rsidRPr="009F2B59" w:rsidRDefault="004F6805" w:rsidP="003510BB">
      <w:pPr>
        <w:rPr>
          <w:rFonts w:asciiTheme="minorHAnsi" w:hAnsiTheme="minorHAnsi" w:cstheme="minorHAnsi"/>
          <w:sz w:val="26"/>
          <w:szCs w:val="26"/>
        </w:rPr>
      </w:pPr>
    </w:p>
    <w:p w14:paraId="5343AAED" w14:textId="6B943555" w:rsidR="00725C52" w:rsidRPr="009F2B59" w:rsidRDefault="009C5AE3" w:rsidP="000225FA">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ED7E52">
        <w:rPr>
          <w:rFonts w:asciiTheme="minorHAnsi" w:hAnsiTheme="minorHAnsi" w:cstheme="minorHAnsi"/>
          <w:b/>
          <w:sz w:val="26"/>
          <w:szCs w:val="26"/>
          <w:u w:val="single"/>
        </w:rPr>
        <w:t>Part 2.5 (</w:t>
      </w:r>
      <w:r w:rsidR="002F2E51">
        <w:rPr>
          <w:rFonts w:asciiTheme="minorHAnsi" w:hAnsiTheme="minorHAnsi" w:cstheme="minorHAnsi"/>
          <w:b/>
          <w:sz w:val="26"/>
          <w:szCs w:val="26"/>
          <w:u w:val="single"/>
        </w:rPr>
        <w:t>residential</w:t>
      </w:r>
      <w:r w:rsidR="00ED7E52">
        <w:rPr>
          <w:rFonts w:asciiTheme="minorHAnsi" w:hAnsiTheme="minorHAnsi" w:cstheme="minorHAnsi"/>
          <w:b/>
          <w:sz w:val="26"/>
          <w:szCs w:val="26"/>
          <w:u w:val="single"/>
        </w:rPr>
        <w:t>)</w:t>
      </w:r>
      <w:r w:rsidR="00D51D60">
        <w:rPr>
          <w:rFonts w:asciiTheme="minorHAnsi" w:hAnsiTheme="minorHAnsi" w:cstheme="minorHAnsi"/>
          <w:b/>
          <w:sz w:val="26"/>
          <w:szCs w:val="26"/>
          <w:u w:val="single"/>
        </w:rPr>
        <w:t xml:space="preserve"> </w:t>
      </w:r>
      <w:r w:rsidR="002F2DE6">
        <w:rPr>
          <w:rFonts w:asciiTheme="minorHAnsi" w:hAnsiTheme="minorHAnsi" w:cstheme="minorHAnsi"/>
          <w:b/>
          <w:sz w:val="26"/>
          <w:szCs w:val="26"/>
          <w:u w:val="single"/>
        </w:rPr>
        <w:t>addresses enclosures</w:t>
      </w:r>
      <w:r w:rsidRPr="009F2B59">
        <w:rPr>
          <w:rFonts w:asciiTheme="minorHAnsi" w:hAnsiTheme="minorHAnsi" w:cstheme="minorHAnsi"/>
          <w:b/>
          <w:sz w:val="26"/>
          <w:szCs w:val="26"/>
          <w:u w:val="single"/>
        </w:rPr>
        <w:t>:</w:t>
      </w:r>
      <w:r w:rsidRPr="009F2B59">
        <w:rPr>
          <w:rFonts w:asciiTheme="minorHAnsi" w:hAnsiTheme="minorHAnsi" w:cstheme="minorHAnsi"/>
          <w:sz w:val="26"/>
          <w:szCs w:val="26"/>
        </w:rPr>
        <w:t xml:space="preserve">  </w:t>
      </w:r>
      <w:r w:rsidR="00ED7E52">
        <w:rPr>
          <w:rFonts w:asciiTheme="minorHAnsi" w:hAnsiTheme="minorHAnsi" w:cstheme="minorHAnsi"/>
          <w:sz w:val="26"/>
          <w:szCs w:val="26"/>
        </w:rPr>
        <w:t>Part 2.5 (</w:t>
      </w:r>
      <w:r w:rsidR="002F2E51">
        <w:rPr>
          <w:rFonts w:asciiTheme="minorHAnsi" w:hAnsiTheme="minorHAnsi" w:cstheme="minorHAnsi"/>
          <w:sz w:val="26"/>
          <w:szCs w:val="26"/>
        </w:rPr>
        <w:t>residential</w:t>
      </w:r>
      <w:r w:rsidR="00ED7E52">
        <w:rPr>
          <w:rFonts w:asciiTheme="minorHAnsi" w:hAnsiTheme="minorHAnsi" w:cstheme="minorHAnsi"/>
          <w:sz w:val="26"/>
          <w:szCs w:val="26"/>
        </w:rPr>
        <w:t>)</w:t>
      </w:r>
      <w:r w:rsidR="00D51D60">
        <w:rPr>
          <w:rFonts w:asciiTheme="minorHAnsi" w:hAnsiTheme="minorHAnsi" w:cstheme="minorHAnsi"/>
          <w:sz w:val="26"/>
          <w:szCs w:val="26"/>
        </w:rPr>
        <w:t xml:space="preserve"> </w:t>
      </w:r>
      <w:r w:rsidR="002F2DE6" w:rsidRPr="002F2DE6">
        <w:rPr>
          <w:rFonts w:asciiTheme="minorHAnsi" w:hAnsiTheme="minorHAnsi" w:cstheme="minorHAnsi"/>
          <w:sz w:val="26"/>
          <w:szCs w:val="26"/>
        </w:rPr>
        <w:t xml:space="preserve">includes the basic, NFIP-consistent requirements for enclosed areas and walls below elevated dwellings.  Requirements for all flood zones are in R322.1, requirements for </w:t>
      </w:r>
      <w:r w:rsidR="00D25B6A">
        <w:rPr>
          <w:rFonts w:asciiTheme="minorHAnsi" w:hAnsiTheme="minorHAnsi" w:cstheme="minorHAnsi"/>
          <w:sz w:val="26"/>
          <w:szCs w:val="26"/>
        </w:rPr>
        <w:t xml:space="preserve">flood zones that start with “A” </w:t>
      </w:r>
      <w:r w:rsidR="002F2DE6" w:rsidRPr="002F2DE6">
        <w:rPr>
          <w:rFonts w:asciiTheme="minorHAnsi" w:hAnsiTheme="minorHAnsi" w:cstheme="minorHAnsi"/>
          <w:sz w:val="26"/>
          <w:szCs w:val="26"/>
        </w:rPr>
        <w:t xml:space="preserve">are in R322.2, and requirements for </w:t>
      </w:r>
      <w:r w:rsidR="00D25B6A">
        <w:rPr>
          <w:rFonts w:asciiTheme="minorHAnsi" w:hAnsiTheme="minorHAnsi" w:cstheme="minorHAnsi"/>
          <w:sz w:val="26"/>
          <w:szCs w:val="26"/>
        </w:rPr>
        <w:t>Zone V/VE</w:t>
      </w:r>
      <w:r w:rsidR="002F2DE6" w:rsidRPr="002F2DE6">
        <w:rPr>
          <w:rFonts w:asciiTheme="minorHAnsi" w:hAnsiTheme="minorHAnsi" w:cstheme="minorHAnsi"/>
          <w:sz w:val="26"/>
          <w:szCs w:val="26"/>
        </w:rPr>
        <w:t xml:space="preserve"> are in R322.3.  </w:t>
      </w:r>
      <w:r w:rsidR="003338E6">
        <w:rPr>
          <w:rFonts w:asciiTheme="minorHAnsi" w:hAnsiTheme="minorHAnsi" w:cstheme="minorHAnsi"/>
          <w:sz w:val="26"/>
          <w:szCs w:val="26"/>
        </w:rPr>
        <w:t>When a FIRM shows a Limit of Moderate Wave Action (</w:t>
      </w:r>
      <w:proofErr w:type="spellStart"/>
      <w:r w:rsidR="003338E6">
        <w:rPr>
          <w:rFonts w:asciiTheme="minorHAnsi" w:hAnsiTheme="minorHAnsi" w:cstheme="minorHAnsi"/>
          <w:sz w:val="26"/>
          <w:szCs w:val="26"/>
        </w:rPr>
        <w:t>LiMWA</w:t>
      </w:r>
      <w:proofErr w:type="spellEnd"/>
      <w:r w:rsidR="003338E6">
        <w:rPr>
          <w:rFonts w:asciiTheme="minorHAnsi" w:hAnsiTheme="minorHAnsi" w:cstheme="minorHAnsi"/>
          <w:sz w:val="26"/>
          <w:szCs w:val="26"/>
        </w:rPr>
        <w:t xml:space="preserve">) or a community otherwise designates a CAZ, </w:t>
      </w:r>
      <w:r w:rsidR="0014508F">
        <w:rPr>
          <w:rFonts w:asciiTheme="minorHAnsi" w:hAnsiTheme="minorHAnsi" w:cstheme="minorHAnsi"/>
          <w:sz w:val="26"/>
          <w:szCs w:val="26"/>
        </w:rPr>
        <w:t xml:space="preserve">the residential code </w:t>
      </w:r>
      <w:r w:rsidR="003338E6">
        <w:rPr>
          <w:rFonts w:asciiTheme="minorHAnsi" w:hAnsiTheme="minorHAnsi" w:cstheme="minorHAnsi"/>
          <w:sz w:val="26"/>
          <w:szCs w:val="26"/>
        </w:rPr>
        <w:t xml:space="preserve">treats CAZ like </w:t>
      </w:r>
      <w:r w:rsidR="00D25B6A">
        <w:rPr>
          <w:rFonts w:asciiTheme="minorHAnsi" w:hAnsiTheme="minorHAnsi" w:cstheme="minorHAnsi"/>
          <w:sz w:val="26"/>
          <w:szCs w:val="26"/>
        </w:rPr>
        <w:t>Zone V/VE</w:t>
      </w:r>
      <w:r w:rsidR="003338E6">
        <w:rPr>
          <w:rFonts w:asciiTheme="minorHAnsi" w:hAnsiTheme="minorHAnsi" w:cstheme="minorHAnsi"/>
          <w:sz w:val="26"/>
          <w:szCs w:val="26"/>
        </w:rPr>
        <w:t>, with an exception permitting backfilled stem wall foundations, provided the foundations are designed for wave loads, debris impact, erosion and local scour</w:t>
      </w:r>
    </w:p>
    <w:p w14:paraId="66012195" w14:textId="77777777" w:rsidR="006B67DD" w:rsidRPr="009F2B59" w:rsidRDefault="006B67DD" w:rsidP="00957F48">
      <w:pPr>
        <w:widowControl/>
        <w:rPr>
          <w:rFonts w:asciiTheme="minorHAnsi" w:hAnsiTheme="minorHAnsi" w:cstheme="minorHAnsi"/>
          <w:b/>
          <w:sz w:val="26"/>
          <w:szCs w:val="26"/>
          <w:u w:val="single"/>
        </w:rPr>
      </w:pPr>
    </w:p>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589D3705" w14:textId="0C16680C" w:rsidR="009E4752" w:rsidRPr="009E4752" w:rsidRDefault="003C1CCF" w:rsidP="002F2DE6">
      <w:pPr>
        <w:rPr>
          <w:rFonts w:asciiTheme="minorHAnsi" w:hAnsiTheme="minorHAnsi" w:cstheme="minorHAnsi"/>
          <w:iCs/>
          <w:sz w:val="26"/>
          <w:szCs w:val="26"/>
        </w:rPr>
      </w:pPr>
      <w:r w:rsidRPr="00957F48">
        <w:rPr>
          <w:rFonts w:asciiTheme="minorHAnsi" w:hAnsiTheme="minorHAnsi" w:cstheme="minorHAnsi"/>
          <w:b/>
          <w:sz w:val="26"/>
          <w:szCs w:val="26"/>
        </w:rPr>
        <w:t xml:space="preserve">Step 1. </w:t>
      </w:r>
      <w:r>
        <w:rPr>
          <w:rFonts w:asciiTheme="minorHAnsi" w:hAnsiTheme="minorHAnsi" w:cstheme="minorHAnsi"/>
          <w:i/>
          <w:iCs/>
          <w:sz w:val="26"/>
          <w:szCs w:val="26"/>
        </w:rPr>
        <w:t xml:space="preserve"> </w:t>
      </w:r>
      <w:r w:rsidR="009E4752">
        <w:rPr>
          <w:rFonts w:asciiTheme="minorHAnsi" w:hAnsiTheme="minorHAnsi" w:cstheme="minorHAnsi"/>
          <w:iCs/>
          <w:sz w:val="26"/>
          <w:szCs w:val="26"/>
        </w:rPr>
        <w:t xml:space="preserve">Review the options shown below and determine whether the requirement for owners to submit signed </w:t>
      </w:r>
      <w:proofErr w:type="spellStart"/>
      <w:r w:rsidR="009E4752">
        <w:rPr>
          <w:rFonts w:asciiTheme="minorHAnsi" w:hAnsiTheme="minorHAnsi" w:cstheme="minorHAnsi"/>
          <w:iCs/>
          <w:sz w:val="26"/>
          <w:szCs w:val="26"/>
        </w:rPr>
        <w:t>Nonconversion</w:t>
      </w:r>
      <w:proofErr w:type="spellEnd"/>
      <w:r w:rsidR="009E4752">
        <w:rPr>
          <w:rFonts w:asciiTheme="minorHAnsi" w:hAnsiTheme="minorHAnsi" w:cstheme="minorHAnsi"/>
          <w:iCs/>
          <w:sz w:val="26"/>
          <w:szCs w:val="26"/>
        </w:rPr>
        <w:t xml:space="preserve"> Agreement should be done as amendments to </w:t>
      </w:r>
      <w:r w:rsidR="0014508F">
        <w:rPr>
          <w:rFonts w:asciiTheme="minorHAnsi" w:hAnsiTheme="minorHAnsi" w:cstheme="minorHAnsi"/>
          <w:iCs/>
          <w:sz w:val="26"/>
          <w:szCs w:val="26"/>
        </w:rPr>
        <w:t>both Part 2 and Part 2.5 or just Part 2.5 (dwellings</w:t>
      </w:r>
      <w:proofErr w:type="gramStart"/>
      <w:r w:rsidR="0014508F">
        <w:rPr>
          <w:rFonts w:asciiTheme="minorHAnsi" w:hAnsiTheme="minorHAnsi" w:cstheme="minorHAnsi"/>
          <w:iCs/>
          <w:sz w:val="26"/>
          <w:szCs w:val="26"/>
        </w:rPr>
        <w:t>)</w:t>
      </w:r>
      <w:r w:rsidR="009E4752">
        <w:rPr>
          <w:rFonts w:asciiTheme="minorHAnsi" w:hAnsiTheme="minorHAnsi" w:cstheme="minorHAnsi"/>
          <w:iCs/>
          <w:sz w:val="26"/>
          <w:szCs w:val="26"/>
        </w:rPr>
        <w:t>, or</w:t>
      </w:r>
      <w:proofErr w:type="gramEnd"/>
      <w:r w:rsidR="009E4752">
        <w:rPr>
          <w:rFonts w:asciiTheme="minorHAnsi" w:hAnsiTheme="minorHAnsi" w:cstheme="minorHAnsi"/>
          <w:iCs/>
          <w:sz w:val="26"/>
          <w:szCs w:val="26"/>
        </w:rPr>
        <w:t xml:space="preserve"> is inclusion in local floodplain management regulations sufficient. </w:t>
      </w:r>
      <w:proofErr w:type="spellStart"/>
      <w:r w:rsidR="009E4752">
        <w:rPr>
          <w:rFonts w:asciiTheme="minorHAnsi" w:hAnsiTheme="minorHAnsi" w:cstheme="minorHAnsi"/>
          <w:iCs/>
          <w:sz w:val="26"/>
          <w:szCs w:val="26"/>
        </w:rPr>
        <w:t>Nonconversion</w:t>
      </w:r>
      <w:proofErr w:type="spellEnd"/>
      <w:r w:rsidR="009E4752">
        <w:rPr>
          <w:rFonts w:asciiTheme="minorHAnsi" w:hAnsiTheme="minorHAnsi" w:cstheme="minorHAnsi"/>
          <w:iCs/>
          <w:sz w:val="26"/>
          <w:szCs w:val="26"/>
        </w:rPr>
        <w:t xml:space="preserve"> agreements do not alter how </w:t>
      </w:r>
      <w:r w:rsidR="00034E1B">
        <w:rPr>
          <w:rFonts w:asciiTheme="minorHAnsi" w:hAnsiTheme="minorHAnsi" w:cstheme="minorHAnsi"/>
          <w:iCs/>
          <w:sz w:val="26"/>
          <w:szCs w:val="26"/>
        </w:rPr>
        <w:t xml:space="preserve">buildings and </w:t>
      </w:r>
      <w:r w:rsidR="009E4752">
        <w:rPr>
          <w:rFonts w:asciiTheme="minorHAnsi" w:hAnsiTheme="minorHAnsi" w:cstheme="minorHAnsi"/>
          <w:iCs/>
          <w:sz w:val="26"/>
          <w:szCs w:val="26"/>
        </w:rPr>
        <w:t>enclosures are designed, which means some communities may determine it appropriate to include in local regulations, rather than the building code.</w:t>
      </w:r>
      <w:r w:rsidR="00E54027">
        <w:rPr>
          <w:rFonts w:asciiTheme="minorHAnsi" w:hAnsiTheme="minorHAnsi" w:cstheme="minorHAnsi"/>
          <w:iCs/>
          <w:sz w:val="26"/>
          <w:szCs w:val="26"/>
        </w:rPr>
        <w:t xml:space="preserve"> </w:t>
      </w:r>
    </w:p>
    <w:p w14:paraId="20C6AEFE" w14:textId="77777777" w:rsidR="009E4752" w:rsidRDefault="009E4752" w:rsidP="002F2DE6">
      <w:pPr>
        <w:rPr>
          <w:rFonts w:asciiTheme="minorHAnsi" w:hAnsiTheme="minorHAnsi" w:cstheme="minorHAnsi"/>
          <w:i/>
          <w:iCs/>
          <w:sz w:val="26"/>
          <w:szCs w:val="26"/>
        </w:rPr>
      </w:pPr>
    </w:p>
    <w:p w14:paraId="6183259D" w14:textId="52A24B48" w:rsidR="002F2DE6" w:rsidRPr="003C1CCF" w:rsidRDefault="00034E1B" w:rsidP="002F2DE6">
      <w:pPr>
        <w:rPr>
          <w:rFonts w:asciiTheme="minorHAnsi" w:hAnsiTheme="minorHAnsi" w:cstheme="minorHAnsi"/>
          <w:sz w:val="26"/>
          <w:szCs w:val="26"/>
        </w:rPr>
      </w:pPr>
      <w:r w:rsidRPr="00957F48">
        <w:rPr>
          <w:rFonts w:asciiTheme="minorHAnsi" w:hAnsiTheme="minorHAnsi" w:cstheme="minorHAnsi"/>
          <w:b/>
          <w:sz w:val="26"/>
          <w:szCs w:val="26"/>
        </w:rPr>
        <w:t xml:space="preserve">Step 2.  </w:t>
      </w:r>
      <w:r w:rsidR="002F2DE6" w:rsidRPr="003C1CCF">
        <w:rPr>
          <w:rFonts w:asciiTheme="minorHAnsi" w:hAnsiTheme="minorHAnsi" w:cstheme="minorHAnsi"/>
          <w:sz w:val="26"/>
          <w:szCs w:val="26"/>
        </w:rPr>
        <w:t xml:space="preserve">If your intent is to apply the requirement ONLY to dwellings, then where you see </w:t>
      </w:r>
      <w:r w:rsidR="002F2DE6" w:rsidRPr="003338E6">
        <w:rPr>
          <w:rFonts w:asciiTheme="minorHAnsi" w:hAnsiTheme="minorHAnsi" w:cstheme="minorHAnsi"/>
          <w:b/>
          <w:sz w:val="26"/>
          <w:szCs w:val="26"/>
        </w:rPr>
        <w:t>{select one: buildings / dwelling}</w:t>
      </w:r>
      <w:r w:rsidR="002F2DE6" w:rsidRPr="003C1CCF">
        <w:rPr>
          <w:rFonts w:asciiTheme="minorHAnsi" w:hAnsiTheme="minorHAnsi" w:cstheme="minorHAnsi"/>
          <w:sz w:val="26"/>
          <w:szCs w:val="26"/>
        </w:rPr>
        <w:t xml:space="preserve">, pick “dwellings” and then </w:t>
      </w:r>
      <w:r>
        <w:rPr>
          <w:rFonts w:asciiTheme="minorHAnsi" w:hAnsiTheme="minorHAnsi" w:cstheme="minorHAnsi"/>
          <w:sz w:val="26"/>
          <w:szCs w:val="26"/>
        </w:rPr>
        <w:t>use</w:t>
      </w:r>
      <w:r w:rsidRPr="00034E1B">
        <w:rPr>
          <w:rFonts w:asciiTheme="minorHAnsi" w:hAnsiTheme="minorHAnsi" w:cstheme="minorHAnsi"/>
          <w:sz w:val="26"/>
          <w:szCs w:val="26"/>
          <w:u w:val="single"/>
        </w:rPr>
        <w:t xml:space="preserve"> </w:t>
      </w:r>
      <w:r w:rsidR="002F2DE6" w:rsidRPr="00034E1B">
        <w:rPr>
          <w:rFonts w:asciiTheme="minorHAnsi" w:hAnsiTheme="minorHAnsi" w:cstheme="minorHAnsi"/>
          <w:sz w:val="26"/>
          <w:szCs w:val="26"/>
          <w:u w:val="single"/>
        </w:rPr>
        <w:t>only</w:t>
      </w:r>
      <w:r w:rsidR="002F2DE6" w:rsidRPr="003C1CCF">
        <w:rPr>
          <w:rFonts w:asciiTheme="minorHAnsi" w:hAnsiTheme="minorHAnsi" w:cstheme="minorHAnsi"/>
          <w:sz w:val="26"/>
          <w:szCs w:val="26"/>
        </w:rPr>
        <w:t xml:space="preserve"> the </w:t>
      </w:r>
      <w:r w:rsidR="0014508F">
        <w:rPr>
          <w:rFonts w:asciiTheme="minorHAnsi" w:hAnsiTheme="minorHAnsi" w:cstheme="minorHAnsi"/>
          <w:sz w:val="26"/>
          <w:szCs w:val="26"/>
        </w:rPr>
        <w:t>Part 2.5</w:t>
      </w:r>
      <w:r w:rsidR="003338E6">
        <w:rPr>
          <w:rFonts w:asciiTheme="minorHAnsi" w:hAnsiTheme="minorHAnsi" w:cstheme="minorHAnsi"/>
          <w:sz w:val="26"/>
          <w:szCs w:val="26"/>
        </w:rPr>
        <w:t xml:space="preserve"> </w:t>
      </w:r>
      <w:r w:rsidR="002F2DE6" w:rsidRPr="003C1CCF">
        <w:rPr>
          <w:rFonts w:asciiTheme="minorHAnsi" w:hAnsiTheme="minorHAnsi" w:cstheme="minorHAnsi"/>
          <w:sz w:val="26"/>
          <w:szCs w:val="26"/>
        </w:rPr>
        <w:t>amendment</w:t>
      </w:r>
      <w:r>
        <w:rPr>
          <w:rFonts w:asciiTheme="minorHAnsi" w:hAnsiTheme="minorHAnsi" w:cstheme="minorHAnsi"/>
          <w:sz w:val="26"/>
          <w:szCs w:val="26"/>
        </w:rPr>
        <w:t>.</w:t>
      </w:r>
    </w:p>
    <w:p w14:paraId="7F46ED4B" w14:textId="77777777" w:rsidR="002F2DE6" w:rsidRPr="002F2DE6" w:rsidRDefault="002F2DE6" w:rsidP="002F2DE6">
      <w:pPr>
        <w:rPr>
          <w:rFonts w:asciiTheme="minorHAnsi" w:hAnsiTheme="minorHAnsi" w:cstheme="minorHAnsi"/>
          <w:sz w:val="26"/>
          <w:szCs w:val="26"/>
        </w:rPr>
      </w:pPr>
    </w:p>
    <w:p w14:paraId="53958CAB" w14:textId="1795C092" w:rsidR="006B767D" w:rsidRDefault="00034E1B" w:rsidP="002F2DE6">
      <w:pPr>
        <w:rPr>
          <w:rFonts w:asciiTheme="minorHAnsi" w:hAnsiTheme="minorHAnsi" w:cstheme="minorHAnsi"/>
          <w:sz w:val="26"/>
          <w:szCs w:val="26"/>
        </w:rPr>
      </w:pPr>
      <w:r>
        <w:rPr>
          <w:rFonts w:asciiTheme="minorHAnsi" w:hAnsiTheme="minorHAnsi" w:cstheme="minorHAnsi"/>
          <w:sz w:val="26"/>
          <w:szCs w:val="26"/>
        </w:rPr>
        <w:lastRenderedPageBreak/>
        <w:t xml:space="preserve">The texts shown below are </w:t>
      </w:r>
      <w:r w:rsidR="002F2DE6" w:rsidRPr="003C1CCF">
        <w:rPr>
          <w:rFonts w:asciiTheme="minorHAnsi" w:hAnsiTheme="minorHAnsi" w:cstheme="minorHAnsi"/>
          <w:sz w:val="26"/>
          <w:szCs w:val="26"/>
        </w:rPr>
        <w:t xml:space="preserve">drafted to apply to all enclosures. </w:t>
      </w:r>
      <w:r w:rsidR="002F2DE6" w:rsidRPr="002F2DE6">
        <w:rPr>
          <w:rFonts w:asciiTheme="minorHAnsi" w:hAnsiTheme="minorHAnsi" w:cstheme="minorHAnsi"/>
          <w:sz w:val="26"/>
          <w:szCs w:val="26"/>
        </w:rPr>
        <w:t xml:space="preserve"> Variations might include requiring the agreement only for enclosures that are more than a specific height, or not requiring it for crawlspace foundations.</w:t>
      </w:r>
      <w:r>
        <w:rPr>
          <w:rFonts w:asciiTheme="minorHAnsi" w:hAnsiTheme="minorHAnsi" w:cstheme="minorHAnsi"/>
          <w:sz w:val="26"/>
          <w:szCs w:val="26"/>
        </w:rPr>
        <w:t xml:space="preserve"> Contact DWR technical support for guidance.</w:t>
      </w:r>
    </w:p>
    <w:p w14:paraId="5940FF30" w14:textId="77777777" w:rsidR="002F2DE6" w:rsidRPr="009F2B59" w:rsidRDefault="002F2DE6" w:rsidP="002F2DE6">
      <w:pPr>
        <w:rPr>
          <w:rFonts w:asciiTheme="minorHAnsi" w:hAnsiTheme="minorHAnsi" w:cstheme="minorHAnsi"/>
          <w:sz w:val="26"/>
          <w:szCs w:val="26"/>
        </w:rPr>
      </w:pPr>
    </w:p>
    <w:p w14:paraId="3D7F2E7C" w14:textId="10903C1C" w:rsidR="003C1CCF" w:rsidRPr="00957F48" w:rsidRDefault="00A67D1E" w:rsidP="00A67D1E">
      <w:pPr>
        <w:rPr>
          <w:rFonts w:asciiTheme="minorHAnsi" w:hAnsiTheme="minorHAnsi" w:cstheme="minorHAnsi"/>
          <w:sz w:val="26"/>
          <w:szCs w:val="26"/>
        </w:rPr>
      </w:pPr>
      <w:r w:rsidRPr="00957F48">
        <w:rPr>
          <w:rFonts w:asciiTheme="minorHAnsi" w:hAnsiTheme="minorHAnsi" w:cstheme="minorHAnsi"/>
          <w:b/>
          <w:sz w:val="26"/>
          <w:szCs w:val="26"/>
        </w:rPr>
        <w:t xml:space="preserve">Step </w:t>
      </w:r>
      <w:r w:rsidR="00034E1B">
        <w:rPr>
          <w:rFonts w:asciiTheme="minorHAnsi" w:hAnsiTheme="minorHAnsi" w:cstheme="minorHAnsi"/>
          <w:b/>
          <w:sz w:val="26"/>
          <w:szCs w:val="26"/>
        </w:rPr>
        <w:t>3</w:t>
      </w:r>
      <w:r w:rsidRPr="00957F48">
        <w:rPr>
          <w:rFonts w:asciiTheme="minorHAnsi" w:hAnsiTheme="minorHAnsi" w:cstheme="minorHAnsi"/>
          <w:b/>
          <w:sz w:val="26"/>
          <w:szCs w:val="26"/>
        </w:rPr>
        <w:t xml:space="preserve">.  </w:t>
      </w:r>
      <w:r w:rsidR="003C1CCF" w:rsidRPr="00957F48">
        <w:rPr>
          <w:rFonts w:asciiTheme="minorHAnsi" w:hAnsiTheme="minorHAnsi" w:cstheme="minorHAnsi"/>
          <w:b/>
          <w:sz w:val="26"/>
          <w:szCs w:val="26"/>
        </w:rPr>
        <w:t xml:space="preserve">Amend </w:t>
      </w:r>
      <w:r w:rsidR="00ED7E52">
        <w:rPr>
          <w:rFonts w:asciiTheme="minorHAnsi" w:hAnsiTheme="minorHAnsi" w:cstheme="minorHAnsi"/>
          <w:b/>
          <w:sz w:val="26"/>
          <w:szCs w:val="26"/>
        </w:rPr>
        <w:t>Part 2</w:t>
      </w:r>
      <w:r w:rsidR="003C1CCF" w:rsidRPr="00957F48">
        <w:rPr>
          <w:rFonts w:asciiTheme="minorHAnsi" w:hAnsiTheme="minorHAnsi" w:cstheme="minorHAnsi"/>
          <w:b/>
          <w:sz w:val="26"/>
          <w:szCs w:val="26"/>
        </w:rPr>
        <w:t xml:space="preserve"> (all buildings except 1- and 2-family dwellings and townhouses less than three stories).  </w:t>
      </w:r>
      <w:r w:rsidR="002F2E51">
        <w:rPr>
          <w:rFonts w:asciiTheme="minorHAnsi" w:hAnsiTheme="minorHAnsi" w:cstheme="minorHAnsi"/>
          <w:sz w:val="26"/>
          <w:szCs w:val="26"/>
        </w:rPr>
        <w:t>If the decision is to amend the codes, and if the requirements will apply to all buildings (not just dwellings), then a</w:t>
      </w:r>
      <w:r w:rsidR="003C1CCF" w:rsidRPr="00957F48">
        <w:rPr>
          <w:rFonts w:asciiTheme="minorHAnsi" w:hAnsiTheme="minorHAnsi" w:cstheme="minorHAnsi"/>
          <w:sz w:val="26"/>
          <w:szCs w:val="26"/>
        </w:rPr>
        <w:t xml:space="preserve">dd a section to the ordinance that adopts local amendments to </w:t>
      </w:r>
      <w:r w:rsidR="00ED7E52">
        <w:rPr>
          <w:rFonts w:asciiTheme="minorHAnsi" w:hAnsiTheme="minorHAnsi" w:cstheme="minorHAnsi"/>
          <w:sz w:val="26"/>
          <w:szCs w:val="26"/>
        </w:rPr>
        <w:t>Part 2</w:t>
      </w:r>
      <w:r w:rsidR="003C1CCF" w:rsidRPr="00957F48">
        <w:rPr>
          <w:rFonts w:asciiTheme="minorHAnsi" w:hAnsiTheme="minorHAnsi" w:cstheme="minorHAnsi"/>
          <w:sz w:val="26"/>
          <w:szCs w:val="26"/>
        </w:rPr>
        <w:t xml:space="preserve">.  To make the changes discernable, maintain strikethrough and underlining.  </w:t>
      </w:r>
    </w:p>
    <w:p w14:paraId="1F02A293" w14:textId="77777777" w:rsidR="003C1CCF" w:rsidRPr="00957F48" w:rsidRDefault="003C1CCF" w:rsidP="00A67D1E">
      <w:pPr>
        <w:rPr>
          <w:rFonts w:asciiTheme="minorHAnsi" w:hAnsiTheme="minorHAnsi" w:cstheme="minorHAnsi"/>
          <w:sz w:val="26"/>
          <w:szCs w:val="26"/>
        </w:rPr>
      </w:pPr>
    </w:p>
    <w:p w14:paraId="74F11E85" w14:textId="77777777" w:rsidR="00A67D1E" w:rsidRPr="00A67D1E" w:rsidRDefault="00A67D1E" w:rsidP="00A67D1E">
      <w:pPr>
        <w:rPr>
          <w:rFonts w:ascii="Arial" w:hAnsi="Arial" w:cs="Arial"/>
          <w:i/>
          <w:sz w:val="22"/>
          <w:szCs w:val="22"/>
        </w:rPr>
      </w:pPr>
    </w:p>
    <w:tbl>
      <w:tblPr>
        <w:tblStyle w:val="TableGrid"/>
        <w:tblW w:w="0" w:type="auto"/>
        <w:tblInd w:w="738" w:type="dxa"/>
        <w:tblLook w:val="04A0" w:firstRow="1" w:lastRow="0" w:firstColumn="1" w:lastColumn="0" w:noHBand="0" w:noVBand="1"/>
      </w:tblPr>
      <w:tblGrid>
        <w:gridCol w:w="8370"/>
      </w:tblGrid>
      <w:tr w:rsidR="00A67D1E" w:rsidRPr="00A67D1E" w14:paraId="5CB9A5BB" w14:textId="77777777" w:rsidTr="00650482">
        <w:tc>
          <w:tcPr>
            <w:tcW w:w="8370" w:type="dxa"/>
          </w:tcPr>
          <w:p w14:paraId="46B191CF" w14:textId="085EC163" w:rsidR="003C1CCF" w:rsidRPr="00191F99" w:rsidRDefault="002F2E51" w:rsidP="003C1CCF">
            <w:pPr>
              <w:pStyle w:val="StyleIBC1"/>
              <w:spacing w:after="60"/>
              <w:rPr>
                <w:rFonts w:ascii="Arial" w:hAnsi="Arial" w:cs="Arial"/>
                <w:i/>
              </w:rPr>
            </w:pPr>
            <w:r>
              <w:rPr>
                <w:rFonts w:ascii="Arial" w:hAnsi="Arial" w:cs="Arial"/>
                <w:bCs/>
                <w:i/>
              </w:rPr>
              <w:t xml:space="preserve">CCR Title 24, Part 2, </w:t>
            </w:r>
            <w:r w:rsidR="003C1CCF">
              <w:rPr>
                <w:rFonts w:ascii="Arial" w:hAnsi="Arial" w:cs="Arial"/>
                <w:i/>
              </w:rPr>
              <w:t>Section 10</w:t>
            </w:r>
            <w:r w:rsidR="00034E1B">
              <w:rPr>
                <w:rFonts w:ascii="Arial" w:hAnsi="Arial" w:cs="Arial"/>
                <w:i/>
              </w:rPr>
              <w:t>5.3</w:t>
            </w:r>
            <w:r w:rsidR="003C1CCF">
              <w:rPr>
                <w:rFonts w:ascii="Arial" w:hAnsi="Arial" w:cs="Arial"/>
                <w:i/>
              </w:rPr>
              <w:t xml:space="preserve"> is hereby amended</w:t>
            </w:r>
            <w:r w:rsidR="003C1CCF" w:rsidRPr="00191F99">
              <w:rPr>
                <w:rFonts w:ascii="Arial" w:hAnsi="Arial" w:cs="Arial"/>
                <w:i/>
              </w:rPr>
              <w:t xml:space="preserve"> as follows:</w:t>
            </w:r>
          </w:p>
          <w:p w14:paraId="3C28C00A" w14:textId="77777777" w:rsidR="00A67D1E" w:rsidRPr="00A67D1E" w:rsidRDefault="00A67D1E" w:rsidP="00650482">
            <w:pPr>
              <w:pStyle w:val="BodyText"/>
              <w:spacing w:after="0"/>
              <w:rPr>
                <w:rFonts w:ascii="Arial" w:hAnsi="Arial" w:cs="Arial"/>
                <w:b/>
                <w:szCs w:val="22"/>
              </w:rPr>
            </w:pPr>
          </w:p>
          <w:p w14:paraId="672AEE39" w14:textId="77777777" w:rsidR="00034E1B" w:rsidRPr="00D453B5" w:rsidRDefault="00034E1B" w:rsidP="00D40E07">
            <w:pPr>
              <w:autoSpaceDE w:val="0"/>
              <w:autoSpaceDN w:val="0"/>
              <w:adjustRightInd w:val="0"/>
              <w:ind w:left="720"/>
              <w:rPr>
                <w:rFonts w:ascii="Arial" w:hAnsi="Arial" w:cs="Arial"/>
                <w:sz w:val="22"/>
                <w:szCs w:val="22"/>
              </w:rPr>
            </w:pPr>
            <w:r w:rsidRPr="00D453B5">
              <w:rPr>
                <w:rFonts w:ascii="Arial" w:hAnsi="Arial" w:cs="Arial"/>
                <w:b/>
                <w:bCs/>
                <w:sz w:val="22"/>
                <w:szCs w:val="22"/>
              </w:rPr>
              <w:t xml:space="preserve">105.3 Application for permit. </w:t>
            </w:r>
            <w:r w:rsidRPr="00D453B5">
              <w:rPr>
                <w:rFonts w:ascii="Arial" w:hAnsi="Arial" w:cs="Arial"/>
                <w:sz w:val="22"/>
                <w:szCs w:val="22"/>
              </w:rPr>
              <w:t>To obtain a permit, the</w:t>
            </w:r>
            <w:r>
              <w:rPr>
                <w:rFonts w:ascii="Arial" w:hAnsi="Arial" w:cs="Arial"/>
              </w:rPr>
              <w:t xml:space="preserve"> </w:t>
            </w:r>
            <w:r w:rsidRPr="00D453B5">
              <w:rPr>
                <w:rFonts w:ascii="Arial" w:hAnsi="Arial" w:cs="Arial"/>
                <w:sz w:val="22"/>
                <w:szCs w:val="22"/>
              </w:rPr>
              <w:t>applicant shall first file an application therefor in writing on a</w:t>
            </w:r>
            <w:r>
              <w:rPr>
                <w:rFonts w:ascii="Arial" w:hAnsi="Arial" w:cs="Arial"/>
              </w:rPr>
              <w:t xml:space="preserve"> </w:t>
            </w:r>
            <w:r w:rsidRPr="00D453B5">
              <w:rPr>
                <w:rFonts w:ascii="Arial" w:hAnsi="Arial" w:cs="Arial"/>
                <w:sz w:val="22"/>
                <w:szCs w:val="22"/>
              </w:rPr>
              <w:t>form furnished by the department of building safety for that</w:t>
            </w:r>
            <w:r>
              <w:rPr>
                <w:rFonts w:ascii="Arial" w:hAnsi="Arial" w:cs="Arial"/>
              </w:rPr>
              <w:t xml:space="preserve"> </w:t>
            </w:r>
            <w:r w:rsidRPr="00D453B5">
              <w:rPr>
                <w:rFonts w:ascii="Arial" w:hAnsi="Arial" w:cs="Arial"/>
                <w:sz w:val="22"/>
                <w:szCs w:val="22"/>
              </w:rPr>
              <w:t>purpose. Such application shall:</w:t>
            </w:r>
          </w:p>
          <w:p w14:paraId="7501F5BE" w14:textId="77777777" w:rsidR="00034E1B" w:rsidRPr="00D453B5" w:rsidRDefault="00034E1B" w:rsidP="00D40E07">
            <w:pPr>
              <w:autoSpaceDE w:val="0"/>
              <w:autoSpaceDN w:val="0"/>
              <w:adjustRightInd w:val="0"/>
              <w:ind w:left="1440"/>
              <w:rPr>
                <w:rFonts w:ascii="Arial" w:hAnsi="Arial" w:cs="Arial"/>
                <w:sz w:val="22"/>
                <w:szCs w:val="22"/>
              </w:rPr>
            </w:pPr>
            <w:r w:rsidRPr="00D453B5">
              <w:rPr>
                <w:rFonts w:ascii="Arial" w:hAnsi="Arial" w:cs="Arial"/>
                <w:sz w:val="22"/>
                <w:szCs w:val="22"/>
              </w:rPr>
              <w:t>1. Identify and describe the work to be covered by the permit</w:t>
            </w:r>
            <w:r>
              <w:rPr>
                <w:rFonts w:ascii="Arial" w:hAnsi="Arial" w:cs="Arial"/>
              </w:rPr>
              <w:t xml:space="preserve"> </w:t>
            </w:r>
            <w:r w:rsidRPr="00D453B5">
              <w:rPr>
                <w:rFonts w:ascii="Arial" w:hAnsi="Arial" w:cs="Arial"/>
                <w:sz w:val="22"/>
                <w:szCs w:val="22"/>
              </w:rPr>
              <w:t>for which application is made.</w:t>
            </w:r>
          </w:p>
          <w:p w14:paraId="673D6F95" w14:textId="77777777" w:rsidR="00034E1B" w:rsidRPr="00D453B5" w:rsidRDefault="00034E1B" w:rsidP="00D40E07">
            <w:pPr>
              <w:autoSpaceDE w:val="0"/>
              <w:autoSpaceDN w:val="0"/>
              <w:adjustRightInd w:val="0"/>
              <w:ind w:left="1440"/>
              <w:rPr>
                <w:rFonts w:ascii="Arial" w:hAnsi="Arial" w:cs="Arial"/>
                <w:sz w:val="22"/>
                <w:szCs w:val="22"/>
              </w:rPr>
            </w:pPr>
            <w:r w:rsidRPr="00D453B5">
              <w:rPr>
                <w:rFonts w:ascii="Arial" w:hAnsi="Arial" w:cs="Arial"/>
                <w:sz w:val="22"/>
                <w:szCs w:val="22"/>
              </w:rPr>
              <w:t>2. Describe the land on which the proposed work is to be</w:t>
            </w:r>
            <w:r>
              <w:rPr>
                <w:rFonts w:ascii="Arial" w:hAnsi="Arial" w:cs="Arial"/>
              </w:rPr>
              <w:t xml:space="preserve"> </w:t>
            </w:r>
            <w:r w:rsidRPr="00D453B5">
              <w:rPr>
                <w:rFonts w:ascii="Arial" w:hAnsi="Arial" w:cs="Arial"/>
                <w:sz w:val="22"/>
                <w:szCs w:val="22"/>
              </w:rPr>
              <w:t xml:space="preserve">done by legal description, street address or similar description that will readily identify and </w:t>
            </w:r>
            <w:proofErr w:type="gramStart"/>
            <w:r w:rsidRPr="00D453B5">
              <w:rPr>
                <w:rFonts w:ascii="Arial" w:hAnsi="Arial" w:cs="Arial"/>
                <w:sz w:val="22"/>
                <w:szCs w:val="22"/>
              </w:rPr>
              <w:t>definitely</w:t>
            </w:r>
            <w:r>
              <w:rPr>
                <w:rFonts w:ascii="Arial" w:hAnsi="Arial" w:cs="Arial"/>
              </w:rPr>
              <w:t xml:space="preserve"> </w:t>
            </w:r>
            <w:r w:rsidRPr="00D453B5">
              <w:rPr>
                <w:rFonts w:ascii="Arial" w:hAnsi="Arial" w:cs="Arial"/>
                <w:sz w:val="22"/>
                <w:szCs w:val="22"/>
              </w:rPr>
              <w:t>locate</w:t>
            </w:r>
            <w:proofErr w:type="gramEnd"/>
            <w:r w:rsidRPr="00D453B5">
              <w:rPr>
                <w:rFonts w:ascii="Arial" w:hAnsi="Arial" w:cs="Arial"/>
                <w:sz w:val="22"/>
                <w:szCs w:val="22"/>
              </w:rPr>
              <w:t xml:space="preserve"> the proposed building or work.</w:t>
            </w:r>
          </w:p>
          <w:p w14:paraId="3AEEA72F" w14:textId="77777777" w:rsidR="00034E1B" w:rsidRPr="00D453B5" w:rsidRDefault="00034E1B" w:rsidP="00D40E07">
            <w:pPr>
              <w:autoSpaceDE w:val="0"/>
              <w:autoSpaceDN w:val="0"/>
              <w:adjustRightInd w:val="0"/>
              <w:ind w:left="1440"/>
              <w:rPr>
                <w:rFonts w:ascii="Arial" w:hAnsi="Arial" w:cs="Arial"/>
                <w:sz w:val="22"/>
                <w:szCs w:val="22"/>
              </w:rPr>
            </w:pPr>
            <w:r w:rsidRPr="00D453B5">
              <w:rPr>
                <w:rFonts w:ascii="Arial" w:hAnsi="Arial" w:cs="Arial"/>
                <w:sz w:val="22"/>
                <w:szCs w:val="22"/>
              </w:rPr>
              <w:t>3. Indicate the use and occupancy for which the proposed</w:t>
            </w:r>
            <w:r>
              <w:rPr>
                <w:rFonts w:ascii="Arial" w:hAnsi="Arial" w:cs="Arial"/>
              </w:rPr>
              <w:t xml:space="preserve"> </w:t>
            </w:r>
            <w:r w:rsidRPr="00D453B5">
              <w:rPr>
                <w:rFonts w:ascii="Arial" w:hAnsi="Arial" w:cs="Arial"/>
                <w:sz w:val="22"/>
                <w:szCs w:val="22"/>
              </w:rPr>
              <w:t>work is intended.</w:t>
            </w:r>
          </w:p>
          <w:p w14:paraId="709079CF" w14:textId="77777777" w:rsidR="00034E1B" w:rsidRPr="00D453B5" w:rsidRDefault="00034E1B" w:rsidP="00D40E07">
            <w:pPr>
              <w:autoSpaceDE w:val="0"/>
              <w:autoSpaceDN w:val="0"/>
              <w:adjustRightInd w:val="0"/>
              <w:ind w:left="1440"/>
              <w:rPr>
                <w:rFonts w:ascii="Arial" w:hAnsi="Arial" w:cs="Arial"/>
                <w:sz w:val="22"/>
                <w:szCs w:val="22"/>
              </w:rPr>
            </w:pPr>
            <w:r w:rsidRPr="00D453B5">
              <w:rPr>
                <w:rFonts w:ascii="Arial" w:hAnsi="Arial" w:cs="Arial"/>
                <w:sz w:val="22"/>
                <w:szCs w:val="22"/>
              </w:rPr>
              <w:t>4. Be accompanied by construction documents and other</w:t>
            </w:r>
            <w:r>
              <w:rPr>
                <w:rFonts w:ascii="Arial" w:hAnsi="Arial" w:cs="Arial"/>
              </w:rPr>
              <w:t xml:space="preserve"> </w:t>
            </w:r>
            <w:r w:rsidRPr="00D453B5">
              <w:rPr>
                <w:rFonts w:ascii="Arial" w:hAnsi="Arial" w:cs="Arial"/>
                <w:sz w:val="22"/>
                <w:szCs w:val="22"/>
              </w:rPr>
              <w:t>information as required in Section 107.</w:t>
            </w:r>
          </w:p>
          <w:p w14:paraId="719DDBD4" w14:textId="77777777" w:rsidR="00034E1B" w:rsidRDefault="00034E1B" w:rsidP="00D40E07">
            <w:pPr>
              <w:autoSpaceDE w:val="0"/>
              <w:autoSpaceDN w:val="0"/>
              <w:adjustRightInd w:val="0"/>
              <w:ind w:left="1440"/>
              <w:rPr>
                <w:rFonts w:ascii="Arial" w:hAnsi="Arial" w:cs="Arial"/>
              </w:rPr>
            </w:pPr>
            <w:r w:rsidRPr="00D453B5">
              <w:rPr>
                <w:rFonts w:ascii="Arial" w:hAnsi="Arial" w:cs="Arial"/>
                <w:sz w:val="22"/>
                <w:szCs w:val="22"/>
              </w:rPr>
              <w:t>5. State the valuation of the proposed work.</w:t>
            </w:r>
            <w:r>
              <w:rPr>
                <w:rFonts w:ascii="Arial" w:hAnsi="Arial" w:cs="Arial"/>
              </w:rPr>
              <w:t xml:space="preserve"> </w:t>
            </w:r>
          </w:p>
          <w:p w14:paraId="500747EE" w14:textId="77777777" w:rsidR="00034E1B" w:rsidRPr="00034E1B" w:rsidRDefault="00034E1B" w:rsidP="00D40E07">
            <w:pPr>
              <w:autoSpaceDE w:val="0"/>
              <w:autoSpaceDN w:val="0"/>
              <w:adjustRightInd w:val="0"/>
              <w:ind w:left="1440"/>
              <w:rPr>
                <w:rFonts w:ascii="Arial" w:hAnsi="Arial" w:cs="Arial"/>
                <w:sz w:val="22"/>
                <w:szCs w:val="22"/>
              </w:rPr>
            </w:pPr>
            <w:r w:rsidRPr="00D453B5">
              <w:rPr>
                <w:rFonts w:ascii="Arial" w:hAnsi="Arial" w:cs="Arial"/>
                <w:sz w:val="22"/>
                <w:szCs w:val="22"/>
              </w:rPr>
              <w:t xml:space="preserve">6. Be signed by the applicant, or the </w:t>
            </w:r>
            <w:r w:rsidRPr="00034E1B">
              <w:rPr>
                <w:rFonts w:ascii="Arial" w:hAnsi="Arial" w:cs="Arial"/>
                <w:sz w:val="22"/>
                <w:szCs w:val="22"/>
              </w:rPr>
              <w:t>applicant’s authorized agent.</w:t>
            </w:r>
          </w:p>
          <w:p w14:paraId="425F4F4D" w14:textId="77777777" w:rsidR="00034E1B" w:rsidRPr="00034E1B" w:rsidRDefault="00034E1B" w:rsidP="00D40E07">
            <w:pPr>
              <w:autoSpaceDE w:val="0"/>
              <w:autoSpaceDN w:val="0"/>
              <w:adjustRightInd w:val="0"/>
              <w:ind w:left="1440"/>
              <w:rPr>
                <w:rFonts w:ascii="Arial" w:hAnsi="Arial" w:cs="Arial"/>
                <w:sz w:val="22"/>
                <w:szCs w:val="22"/>
              </w:rPr>
            </w:pPr>
            <w:r w:rsidRPr="00034E1B">
              <w:rPr>
                <w:rFonts w:ascii="Arial" w:hAnsi="Arial" w:cs="Arial"/>
                <w:sz w:val="22"/>
                <w:szCs w:val="22"/>
              </w:rPr>
              <w:t>7. Give such other data and information as required by the building official.</w:t>
            </w:r>
          </w:p>
          <w:p w14:paraId="5D720EA5" w14:textId="77777777" w:rsidR="00034E1B" w:rsidRPr="00034E1B" w:rsidRDefault="00034E1B" w:rsidP="00D40E07">
            <w:pPr>
              <w:autoSpaceDE w:val="0"/>
              <w:autoSpaceDN w:val="0"/>
              <w:adjustRightInd w:val="0"/>
              <w:ind w:left="1440"/>
              <w:rPr>
                <w:rFonts w:ascii="Arial" w:hAnsi="Arial" w:cs="Arial"/>
                <w:sz w:val="22"/>
                <w:szCs w:val="22"/>
                <w:u w:val="single"/>
              </w:rPr>
            </w:pPr>
            <w:r w:rsidRPr="00034E1B">
              <w:rPr>
                <w:rFonts w:ascii="Arial" w:hAnsi="Arial" w:cs="Arial"/>
                <w:sz w:val="22"/>
                <w:szCs w:val="22"/>
                <w:u w:val="single"/>
              </w:rPr>
              <w:t xml:space="preserve">8. Include a </w:t>
            </w:r>
            <w:proofErr w:type="spellStart"/>
            <w:r w:rsidRPr="00034E1B">
              <w:rPr>
                <w:rFonts w:ascii="Arial" w:hAnsi="Arial" w:cs="Arial"/>
                <w:sz w:val="22"/>
                <w:szCs w:val="22"/>
                <w:u w:val="single"/>
              </w:rPr>
              <w:t>nonconversion</w:t>
            </w:r>
            <w:proofErr w:type="spellEnd"/>
            <w:r w:rsidRPr="00034E1B">
              <w:rPr>
                <w:rFonts w:ascii="Arial" w:hAnsi="Arial" w:cs="Arial"/>
                <w:sz w:val="22"/>
                <w:szCs w:val="22"/>
                <w:u w:val="single"/>
              </w:rPr>
              <w:t xml:space="preserve"> agreement signed by the applicant if the building in a flood hazard area has enclosed areas below the lowest floor.</w:t>
            </w:r>
          </w:p>
          <w:p w14:paraId="11FAC73A" w14:textId="77777777" w:rsidR="00A67D1E" w:rsidRPr="00A67D1E" w:rsidRDefault="00A67D1E" w:rsidP="00034E1B">
            <w:pPr>
              <w:pStyle w:val="BodyText"/>
              <w:spacing w:after="0"/>
              <w:rPr>
                <w:rFonts w:ascii="Arial" w:hAnsi="Arial" w:cs="Arial"/>
                <w:szCs w:val="22"/>
              </w:rPr>
            </w:pPr>
          </w:p>
        </w:tc>
      </w:tr>
    </w:tbl>
    <w:p w14:paraId="63021855" w14:textId="77777777" w:rsidR="00A67D1E" w:rsidRPr="00A67D1E" w:rsidRDefault="00A67D1E" w:rsidP="00A67D1E">
      <w:pPr>
        <w:rPr>
          <w:rFonts w:ascii="Arial" w:hAnsi="Arial" w:cs="Arial"/>
          <w:b/>
          <w:sz w:val="22"/>
          <w:szCs w:val="22"/>
        </w:rPr>
      </w:pPr>
    </w:p>
    <w:p w14:paraId="02F3DE59" w14:textId="77777777" w:rsidR="003338E6" w:rsidRDefault="003338E6" w:rsidP="003C1CCF">
      <w:pPr>
        <w:rPr>
          <w:rFonts w:asciiTheme="minorHAnsi" w:hAnsiTheme="minorHAnsi" w:cstheme="minorHAnsi"/>
          <w:b/>
          <w:sz w:val="26"/>
          <w:szCs w:val="26"/>
        </w:rPr>
      </w:pPr>
    </w:p>
    <w:p w14:paraId="527419C5" w14:textId="3E62D3F3" w:rsidR="003338E6" w:rsidRPr="007C3C52" w:rsidRDefault="003338E6" w:rsidP="003338E6">
      <w:pPr>
        <w:rPr>
          <w:rFonts w:asciiTheme="minorHAnsi" w:hAnsiTheme="minorHAnsi" w:cstheme="minorHAnsi"/>
          <w:sz w:val="26"/>
          <w:szCs w:val="26"/>
        </w:rPr>
      </w:pPr>
      <w:r w:rsidRPr="007C3C52">
        <w:rPr>
          <w:rFonts w:asciiTheme="minorHAnsi" w:hAnsiTheme="minorHAnsi" w:cstheme="minorHAnsi"/>
          <w:b/>
          <w:sz w:val="26"/>
          <w:szCs w:val="26"/>
        </w:rPr>
        <w:t xml:space="preserve">Step </w:t>
      </w:r>
      <w:r w:rsidR="00034E1B">
        <w:rPr>
          <w:rFonts w:asciiTheme="minorHAnsi" w:hAnsiTheme="minorHAnsi" w:cstheme="minorHAnsi"/>
          <w:b/>
          <w:sz w:val="26"/>
          <w:szCs w:val="26"/>
        </w:rPr>
        <w:t>4</w:t>
      </w:r>
      <w:r w:rsidRPr="007C3C52">
        <w:rPr>
          <w:rFonts w:asciiTheme="minorHAnsi" w:hAnsiTheme="minorHAnsi" w:cstheme="minorHAnsi"/>
          <w:b/>
          <w:sz w:val="26"/>
          <w:szCs w:val="26"/>
        </w:rPr>
        <w:t xml:space="preserve">.  Amend </w:t>
      </w:r>
      <w:r w:rsidR="00ED7E52">
        <w:rPr>
          <w:rFonts w:asciiTheme="minorHAnsi" w:hAnsiTheme="minorHAnsi" w:cstheme="minorHAnsi"/>
          <w:b/>
          <w:sz w:val="26"/>
          <w:szCs w:val="26"/>
        </w:rPr>
        <w:t>Part 2.5</w:t>
      </w:r>
      <w:r w:rsidRPr="007C3C52">
        <w:rPr>
          <w:rFonts w:asciiTheme="minorHAnsi" w:hAnsiTheme="minorHAnsi" w:cstheme="minorHAnsi"/>
          <w:b/>
          <w:sz w:val="26"/>
          <w:szCs w:val="26"/>
        </w:rPr>
        <w:t xml:space="preserve"> (all buildings except 1- and 2-family dwellings and townhouses less than three stories).  </w:t>
      </w:r>
      <w:r w:rsidR="002F2E51">
        <w:rPr>
          <w:rFonts w:asciiTheme="minorHAnsi" w:hAnsiTheme="minorHAnsi" w:cstheme="minorHAnsi"/>
          <w:sz w:val="26"/>
          <w:szCs w:val="26"/>
        </w:rPr>
        <w:t>If the decision is to amend the codes, then a</w:t>
      </w:r>
      <w:r w:rsidR="002F2E51" w:rsidRPr="00957F48">
        <w:rPr>
          <w:rFonts w:asciiTheme="minorHAnsi" w:hAnsiTheme="minorHAnsi" w:cstheme="minorHAnsi"/>
          <w:sz w:val="26"/>
          <w:szCs w:val="26"/>
        </w:rPr>
        <w:t xml:space="preserve">dd </w:t>
      </w:r>
      <w:r w:rsidRPr="007C3C52">
        <w:rPr>
          <w:rFonts w:asciiTheme="minorHAnsi" w:hAnsiTheme="minorHAnsi" w:cstheme="minorHAnsi"/>
          <w:sz w:val="26"/>
          <w:szCs w:val="26"/>
        </w:rPr>
        <w:t xml:space="preserve">a section to the ordinance that adopts local amendments to </w:t>
      </w:r>
      <w:r w:rsidR="00ED7E52">
        <w:rPr>
          <w:rFonts w:asciiTheme="minorHAnsi" w:hAnsiTheme="minorHAnsi" w:cstheme="minorHAnsi"/>
          <w:sz w:val="26"/>
          <w:szCs w:val="26"/>
        </w:rPr>
        <w:t>Part 2.5</w:t>
      </w:r>
      <w:r w:rsidRPr="007C3C52">
        <w:rPr>
          <w:rFonts w:asciiTheme="minorHAnsi" w:hAnsiTheme="minorHAnsi" w:cstheme="minorHAnsi"/>
          <w:sz w:val="26"/>
          <w:szCs w:val="26"/>
        </w:rPr>
        <w:t xml:space="preserve">.  To make the changes discernable, maintain strikethrough and underlining.  </w:t>
      </w:r>
    </w:p>
    <w:p w14:paraId="4B0D8E1B" w14:textId="77777777" w:rsidR="003338E6" w:rsidRPr="003338E6" w:rsidRDefault="003338E6" w:rsidP="003338E6">
      <w:pPr>
        <w:rPr>
          <w:rFonts w:asciiTheme="minorHAnsi" w:hAnsiTheme="minorHAnsi" w:cstheme="minorHAnsi"/>
          <w:sz w:val="26"/>
          <w:szCs w:val="26"/>
          <w:highlight w:val="yellow"/>
        </w:rPr>
      </w:pPr>
    </w:p>
    <w:tbl>
      <w:tblPr>
        <w:tblStyle w:val="TableGrid"/>
        <w:tblW w:w="0" w:type="auto"/>
        <w:tblInd w:w="738" w:type="dxa"/>
        <w:tblLook w:val="04A0" w:firstRow="1" w:lastRow="0" w:firstColumn="1" w:lastColumn="0" w:noHBand="0" w:noVBand="1"/>
      </w:tblPr>
      <w:tblGrid>
        <w:gridCol w:w="8370"/>
      </w:tblGrid>
      <w:tr w:rsidR="003338E6" w:rsidRPr="00A67D1E" w14:paraId="66330299" w14:textId="77777777" w:rsidTr="00A87B8E">
        <w:tc>
          <w:tcPr>
            <w:tcW w:w="8370" w:type="dxa"/>
          </w:tcPr>
          <w:p w14:paraId="0D59372F" w14:textId="6C5C7774" w:rsidR="003338E6" w:rsidRDefault="00ED7E52" w:rsidP="00A87B8E">
            <w:pPr>
              <w:pStyle w:val="StyleIBC1"/>
              <w:spacing w:after="60"/>
              <w:rPr>
                <w:rFonts w:ascii="Arial" w:hAnsi="Arial" w:cs="Arial"/>
                <w:i/>
              </w:rPr>
            </w:pPr>
            <w:r>
              <w:rPr>
                <w:rFonts w:ascii="Arial" w:hAnsi="Arial" w:cs="Arial"/>
                <w:bCs/>
                <w:i/>
              </w:rPr>
              <w:t xml:space="preserve">CCR Title 24, Part 2.5, </w:t>
            </w:r>
            <w:r w:rsidR="007C3C52">
              <w:rPr>
                <w:rFonts w:ascii="Arial" w:hAnsi="Arial" w:cs="Arial"/>
                <w:i/>
              </w:rPr>
              <w:t>Section R10</w:t>
            </w:r>
            <w:r w:rsidR="00034E1B">
              <w:rPr>
                <w:rFonts w:ascii="Arial" w:hAnsi="Arial" w:cs="Arial"/>
                <w:i/>
              </w:rPr>
              <w:t>5.3</w:t>
            </w:r>
            <w:r w:rsidR="003338E6">
              <w:rPr>
                <w:rFonts w:ascii="Arial" w:hAnsi="Arial" w:cs="Arial"/>
                <w:i/>
              </w:rPr>
              <w:t xml:space="preserve"> is hereby amended</w:t>
            </w:r>
            <w:r w:rsidR="003338E6" w:rsidRPr="00191F99">
              <w:rPr>
                <w:rFonts w:ascii="Arial" w:hAnsi="Arial" w:cs="Arial"/>
                <w:i/>
              </w:rPr>
              <w:t xml:space="preserve"> as follows:</w:t>
            </w:r>
          </w:p>
          <w:p w14:paraId="1A6D5E19" w14:textId="77777777" w:rsidR="00034E1B" w:rsidRDefault="00034E1B" w:rsidP="00034E1B">
            <w:pPr>
              <w:autoSpaceDE w:val="0"/>
              <w:autoSpaceDN w:val="0"/>
              <w:adjustRightInd w:val="0"/>
              <w:rPr>
                <w:rFonts w:ascii="Arial" w:hAnsi="Arial" w:cs="Arial"/>
                <w:b/>
                <w:bCs/>
                <w:sz w:val="22"/>
                <w:szCs w:val="22"/>
              </w:rPr>
            </w:pPr>
          </w:p>
          <w:p w14:paraId="4F2FF2D3" w14:textId="77777777" w:rsidR="00034E1B" w:rsidRPr="00034E1B" w:rsidRDefault="00034E1B" w:rsidP="00D40E07">
            <w:pPr>
              <w:autoSpaceDE w:val="0"/>
              <w:autoSpaceDN w:val="0"/>
              <w:adjustRightInd w:val="0"/>
              <w:ind w:left="720"/>
              <w:rPr>
                <w:rFonts w:ascii="Arial" w:hAnsi="Arial" w:cs="Arial"/>
                <w:sz w:val="22"/>
                <w:szCs w:val="22"/>
              </w:rPr>
            </w:pPr>
            <w:r w:rsidRPr="00034E1B">
              <w:rPr>
                <w:rFonts w:ascii="Arial" w:hAnsi="Arial" w:cs="Arial"/>
                <w:b/>
                <w:bCs/>
                <w:sz w:val="22"/>
                <w:szCs w:val="22"/>
              </w:rPr>
              <w:t xml:space="preserve">R105.3 Application for permit. </w:t>
            </w:r>
            <w:r w:rsidRPr="00034E1B">
              <w:rPr>
                <w:rFonts w:ascii="Arial" w:hAnsi="Arial" w:cs="Arial"/>
                <w:sz w:val="22"/>
                <w:szCs w:val="22"/>
              </w:rPr>
              <w:t>To obtain a permit, the applicant shall first file an application therefor in writing on a form furnished by the department of building safety for that purpose. Such application shall:</w:t>
            </w:r>
          </w:p>
          <w:p w14:paraId="7D8367A8" w14:textId="77777777" w:rsidR="00034E1B" w:rsidRPr="00034E1B" w:rsidRDefault="00034E1B" w:rsidP="00D40E07">
            <w:pPr>
              <w:autoSpaceDE w:val="0"/>
              <w:autoSpaceDN w:val="0"/>
              <w:adjustRightInd w:val="0"/>
              <w:ind w:left="1440"/>
              <w:rPr>
                <w:rFonts w:ascii="Arial" w:hAnsi="Arial" w:cs="Arial"/>
                <w:sz w:val="22"/>
                <w:szCs w:val="22"/>
              </w:rPr>
            </w:pPr>
            <w:r w:rsidRPr="00034E1B">
              <w:rPr>
                <w:rFonts w:ascii="Arial" w:hAnsi="Arial" w:cs="Arial"/>
                <w:sz w:val="22"/>
                <w:szCs w:val="22"/>
              </w:rPr>
              <w:lastRenderedPageBreak/>
              <w:t>1. Identify and describe the work to be covered by the permit for which application is made.</w:t>
            </w:r>
          </w:p>
          <w:p w14:paraId="352CA486" w14:textId="77777777" w:rsidR="00034E1B" w:rsidRPr="00034E1B" w:rsidRDefault="00034E1B" w:rsidP="00D40E07">
            <w:pPr>
              <w:autoSpaceDE w:val="0"/>
              <w:autoSpaceDN w:val="0"/>
              <w:adjustRightInd w:val="0"/>
              <w:ind w:left="1440"/>
              <w:rPr>
                <w:rFonts w:ascii="Arial" w:hAnsi="Arial" w:cs="Arial"/>
                <w:sz w:val="22"/>
                <w:szCs w:val="22"/>
              </w:rPr>
            </w:pPr>
            <w:r w:rsidRPr="00034E1B">
              <w:rPr>
                <w:rFonts w:ascii="Arial" w:hAnsi="Arial" w:cs="Arial"/>
                <w:sz w:val="22"/>
                <w:szCs w:val="22"/>
              </w:rPr>
              <w:t xml:space="preserve">2. Describe the land on which the proposed work is to be done by legal description, street address or similar description that will readily identify and </w:t>
            </w:r>
            <w:proofErr w:type="gramStart"/>
            <w:r w:rsidRPr="00034E1B">
              <w:rPr>
                <w:rFonts w:ascii="Arial" w:hAnsi="Arial" w:cs="Arial"/>
                <w:sz w:val="22"/>
                <w:szCs w:val="22"/>
              </w:rPr>
              <w:t>definitely locate</w:t>
            </w:r>
            <w:proofErr w:type="gramEnd"/>
            <w:r w:rsidRPr="00034E1B">
              <w:rPr>
                <w:rFonts w:ascii="Arial" w:hAnsi="Arial" w:cs="Arial"/>
                <w:sz w:val="22"/>
                <w:szCs w:val="22"/>
              </w:rPr>
              <w:t xml:space="preserve"> the proposed building or work.</w:t>
            </w:r>
          </w:p>
          <w:p w14:paraId="0CB07256" w14:textId="77777777" w:rsidR="00034E1B" w:rsidRPr="00034E1B" w:rsidRDefault="00034E1B" w:rsidP="00D40E07">
            <w:pPr>
              <w:autoSpaceDE w:val="0"/>
              <w:autoSpaceDN w:val="0"/>
              <w:adjustRightInd w:val="0"/>
              <w:ind w:left="1440"/>
              <w:rPr>
                <w:rFonts w:ascii="Arial" w:hAnsi="Arial" w:cs="Arial"/>
                <w:sz w:val="22"/>
                <w:szCs w:val="22"/>
              </w:rPr>
            </w:pPr>
            <w:r w:rsidRPr="00034E1B">
              <w:rPr>
                <w:rFonts w:ascii="Arial" w:hAnsi="Arial" w:cs="Arial"/>
                <w:sz w:val="22"/>
                <w:szCs w:val="22"/>
              </w:rPr>
              <w:t>3. Indicate the use and occupancy for which the proposed work is intended.</w:t>
            </w:r>
          </w:p>
          <w:p w14:paraId="681F15EC" w14:textId="77777777" w:rsidR="00034E1B" w:rsidRPr="00034E1B" w:rsidRDefault="00034E1B" w:rsidP="00D40E07">
            <w:pPr>
              <w:autoSpaceDE w:val="0"/>
              <w:autoSpaceDN w:val="0"/>
              <w:adjustRightInd w:val="0"/>
              <w:ind w:left="1440"/>
              <w:rPr>
                <w:rFonts w:ascii="Arial" w:hAnsi="Arial" w:cs="Arial"/>
                <w:sz w:val="22"/>
                <w:szCs w:val="22"/>
              </w:rPr>
            </w:pPr>
            <w:r w:rsidRPr="00034E1B">
              <w:rPr>
                <w:rFonts w:ascii="Arial" w:hAnsi="Arial" w:cs="Arial"/>
                <w:sz w:val="22"/>
                <w:szCs w:val="22"/>
              </w:rPr>
              <w:t>4. Be accompanied by construction documents and other information as required in Section R106.1.</w:t>
            </w:r>
          </w:p>
          <w:p w14:paraId="0B98DFEB" w14:textId="77777777" w:rsidR="00034E1B" w:rsidRPr="00034E1B" w:rsidRDefault="00034E1B" w:rsidP="00D40E07">
            <w:pPr>
              <w:autoSpaceDE w:val="0"/>
              <w:autoSpaceDN w:val="0"/>
              <w:adjustRightInd w:val="0"/>
              <w:ind w:left="1440"/>
              <w:rPr>
                <w:rFonts w:ascii="Arial" w:hAnsi="Arial" w:cs="Arial"/>
                <w:sz w:val="22"/>
                <w:szCs w:val="22"/>
              </w:rPr>
            </w:pPr>
            <w:r w:rsidRPr="00034E1B">
              <w:rPr>
                <w:rFonts w:ascii="Arial" w:hAnsi="Arial" w:cs="Arial"/>
                <w:sz w:val="22"/>
                <w:szCs w:val="22"/>
              </w:rPr>
              <w:t>5. State the valuation of the proposed work.</w:t>
            </w:r>
          </w:p>
          <w:p w14:paraId="02D30468" w14:textId="77777777" w:rsidR="00034E1B" w:rsidRPr="00034E1B" w:rsidRDefault="00034E1B" w:rsidP="00D40E07">
            <w:pPr>
              <w:autoSpaceDE w:val="0"/>
              <w:autoSpaceDN w:val="0"/>
              <w:adjustRightInd w:val="0"/>
              <w:ind w:left="1440"/>
              <w:rPr>
                <w:rFonts w:ascii="Arial" w:hAnsi="Arial" w:cs="Arial"/>
                <w:sz w:val="22"/>
                <w:szCs w:val="22"/>
              </w:rPr>
            </w:pPr>
            <w:r w:rsidRPr="00034E1B">
              <w:rPr>
                <w:rFonts w:ascii="Arial" w:hAnsi="Arial" w:cs="Arial"/>
                <w:sz w:val="22"/>
                <w:szCs w:val="22"/>
              </w:rPr>
              <w:t>6. Be signed by the applicant or the applicant’s authorized agent.</w:t>
            </w:r>
          </w:p>
          <w:p w14:paraId="745CA893" w14:textId="77777777" w:rsidR="00034E1B" w:rsidRPr="00034E1B" w:rsidRDefault="00034E1B" w:rsidP="00D40E07">
            <w:pPr>
              <w:autoSpaceDE w:val="0"/>
              <w:autoSpaceDN w:val="0"/>
              <w:adjustRightInd w:val="0"/>
              <w:ind w:left="1440"/>
              <w:rPr>
                <w:rFonts w:ascii="Arial" w:hAnsi="Arial" w:cs="Arial"/>
                <w:sz w:val="22"/>
                <w:szCs w:val="22"/>
              </w:rPr>
            </w:pPr>
            <w:r w:rsidRPr="00034E1B">
              <w:rPr>
                <w:rFonts w:ascii="Arial" w:hAnsi="Arial" w:cs="Arial"/>
                <w:sz w:val="22"/>
                <w:szCs w:val="22"/>
              </w:rPr>
              <w:t>7. Give such other data and information as required by the building official.</w:t>
            </w:r>
          </w:p>
          <w:p w14:paraId="21BC0259" w14:textId="77777777" w:rsidR="00034E1B" w:rsidRPr="00034E1B" w:rsidRDefault="00034E1B" w:rsidP="00D40E07">
            <w:pPr>
              <w:autoSpaceDE w:val="0"/>
              <w:autoSpaceDN w:val="0"/>
              <w:adjustRightInd w:val="0"/>
              <w:ind w:left="1440"/>
              <w:rPr>
                <w:rFonts w:ascii="Arial" w:hAnsi="Arial" w:cs="Arial"/>
                <w:sz w:val="22"/>
                <w:szCs w:val="22"/>
                <w:u w:val="single"/>
              </w:rPr>
            </w:pPr>
            <w:r w:rsidRPr="00034E1B">
              <w:rPr>
                <w:rFonts w:ascii="Arial" w:hAnsi="Arial" w:cs="Arial"/>
                <w:sz w:val="22"/>
                <w:szCs w:val="22"/>
                <w:u w:val="single"/>
              </w:rPr>
              <w:t xml:space="preserve">8. Include a </w:t>
            </w:r>
            <w:proofErr w:type="spellStart"/>
            <w:r w:rsidRPr="00034E1B">
              <w:rPr>
                <w:rFonts w:ascii="Arial" w:hAnsi="Arial" w:cs="Arial"/>
                <w:sz w:val="22"/>
                <w:szCs w:val="22"/>
                <w:u w:val="single"/>
              </w:rPr>
              <w:t>nonconversion</w:t>
            </w:r>
            <w:proofErr w:type="spellEnd"/>
            <w:r w:rsidRPr="00034E1B">
              <w:rPr>
                <w:rFonts w:ascii="Arial" w:hAnsi="Arial" w:cs="Arial"/>
                <w:sz w:val="22"/>
                <w:szCs w:val="22"/>
                <w:u w:val="single"/>
              </w:rPr>
              <w:t xml:space="preserve"> agreement signed by the applicant if the building in a flood hazard area has enclosed areas below the lowest floor.</w:t>
            </w:r>
          </w:p>
          <w:p w14:paraId="52C4E286" w14:textId="77777777" w:rsidR="007C3C52" w:rsidRPr="00034E1B" w:rsidRDefault="007C3C52" w:rsidP="00034E1B">
            <w:pPr>
              <w:widowControl/>
              <w:rPr>
                <w:rFonts w:ascii="Arial" w:hAnsi="Arial" w:cs="Arial"/>
                <w:sz w:val="22"/>
                <w:szCs w:val="22"/>
              </w:rPr>
            </w:pPr>
          </w:p>
        </w:tc>
      </w:tr>
    </w:tbl>
    <w:p w14:paraId="7024221C" w14:textId="77777777" w:rsidR="003338E6" w:rsidRDefault="003338E6" w:rsidP="003C1CCF">
      <w:pPr>
        <w:rPr>
          <w:rFonts w:asciiTheme="minorHAnsi" w:hAnsiTheme="minorHAnsi" w:cstheme="minorHAnsi"/>
          <w:b/>
          <w:sz w:val="26"/>
          <w:szCs w:val="26"/>
        </w:rPr>
      </w:pPr>
    </w:p>
    <w:p w14:paraId="353D8927" w14:textId="77777777" w:rsidR="003338E6" w:rsidRDefault="003338E6" w:rsidP="003C1CCF">
      <w:pPr>
        <w:rPr>
          <w:rFonts w:asciiTheme="minorHAnsi" w:hAnsiTheme="minorHAnsi" w:cstheme="minorHAnsi"/>
          <w:b/>
          <w:sz w:val="26"/>
          <w:szCs w:val="26"/>
        </w:rPr>
      </w:pPr>
    </w:p>
    <w:p w14:paraId="442D664A" w14:textId="242283B3" w:rsidR="003C1CCF" w:rsidRPr="00957F48" w:rsidRDefault="003C1CCF" w:rsidP="003C1CCF">
      <w:pPr>
        <w:rPr>
          <w:rFonts w:asciiTheme="minorHAnsi" w:hAnsiTheme="minorHAnsi" w:cstheme="minorHAnsi"/>
          <w:bCs/>
          <w:sz w:val="26"/>
          <w:szCs w:val="26"/>
        </w:rPr>
      </w:pPr>
      <w:r w:rsidRPr="00957F48">
        <w:rPr>
          <w:rFonts w:asciiTheme="minorHAnsi" w:hAnsiTheme="minorHAnsi" w:cstheme="minorHAnsi"/>
          <w:b/>
          <w:sz w:val="26"/>
          <w:szCs w:val="26"/>
        </w:rPr>
        <w:t xml:space="preserve">Step 3.  Amend local floodplain management regulations.  </w:t>
      </w:r>
      <w:r w:rsidRPr="00957F48">
        <w:rPr>
          <w:rFonts w:asciiTheme="minorHAnsi" w:hAnsiTheme="minorHAnsi" w:cstheme="minorHAnsi"/>
          <w:bCs/>
          <w:sz w:val="26"/>
          <w:szCs w:val="26"/>
        </w:rPr>
        <w:t xml:space="preserve">In the floodplain management regulations, add </w:t>
      </w:r>
      <w:r w:rsidR="007C3C52">
        <w:rPr>
          <w:rFonts w:asciiTheme="minorHAnsi" w:hAnsiTheme="minorHAnsi" w:cstheme="minorHAnsi"/>
          <w:bCs/>
          <w:sz w:val="26"/>
          <w:szCs w:val="26"/>
        </w:rPr>
        <w:t xml:space="preserve">a </w:t>
      </w:r>
      <w:r w:rsidRPr="00957F48">
        <w:rPr>
          <w:rFonts w:asciiTheme="minorHAnsi" w:hAnsiTheme="minorHAnsi" w:cstheme="minorHAnsi"/>
          <w:bCs/>
          <w:sz w:val="26"/>
          <w:szCs w:val="26"/>
        </w:rPr>
        <w:t>definition</w:t>
      </w:r>
      <w:r w:rsidR="007C3C52">
        <w:rPr>
          <w:rFonts w:asciiTheme="minorHAnsi" w:hAnsiTheme="minorHAnsi" w:cstheme="minorHAnsi"/>
          <w:bCs/>
          <w:sz w:val="26"/>
          <w:szCs w:val="26"/>
        </w:rPr>
        <w:t xml:space="preserve"> and </w:t>
      </w:r>
      <w:r w:rsidR="000822FB">
        <w:rPr>
          <w:rFonts w:asciiTheme="minorHAnsi" w:hAnsiTheme="minorHAnsi" w:cstheme="minorHAnsi"/>
          <w:bCs/>
          <w:sz w:val="26"/>
          <w:szCs w:val="26"/>
        </w:rPr>
        <w:t>add to the list of what is required to be submitted with applications</w:t>
      </w:r>
      <w:r w:rsidRPr="00957F48">
        <w:rPr>
          <w:rFonts w:asciiTheme="minorHAnsi" w:hAnsiTheme="minorHAnsi" w:cstheme="minorHAnsi"/>
          <w:bCs/>
          <w:sz w:val="26"/>
          <w:szCs w:val="26"/>
        </w:rPr>
        <w:t>:</w:t>
      </w:r>
    </w:p>
    <w:p w14:paraId="1CB9F92E" w14:textId="77777777" w:rsidR="003C1CCF" w:rsidRPr="00957F48" w:rsidRDefault="003C1CCF" w:rsidP="003C1CCF">
      <w:pPr>
        <w:rPr>
          <w:rFonts w:asciiTheme="minorHAnsi" w:hAnsiTheme="minorHAnsi" w:cstheme="minorHAnsi"/>
          <w:b/>
          <w:sz w:val="26"/>
          <w:szCs w:val="26"/>
        </w:rPr>
      </w:pPr>
    </w:p>
    <w:tbl>
      <w:tblPr>
        <w:tblStyle w:val="TableGrid"/>
        <w:tblW w:w="0" w:type="auto"/>
        <w:tblInd w:w="738" w:type="dxa"/>
        <w:tblLook w:val="04A0" w:firstRow="1" w:lastRow="0" w:firstColumn="1" w:lastColumn="0" w:noHBand="0" w:noVBand="1"/>
      </w:tblPr>
      <w:tblGrid>
        <w:gridCol w:w="8370"/>
      </w:tblGrid>
      <w:tr w:rsidR="003C1CCF" w:rsidRPr="00A67D1E" w14:paraId="7D988537" w14:textId="77777777" w:rsidTr="00FA30B4">
        <w:tc>
          <w:tcPr>
            <w:tcW w:w="8370" w:type="dxa"/>
          </w:tcPr>
          <w:p w14:paraId="22914BBC" w14:textId="7EA8B75F" w:rsidR="007C3C52" w:rsidRPr="007C3C52" w:rsidRDefault="007C3C52" w:rsidP="007C3C52">
            <w:pPr>
              <w:spacing w:before="120" w:after="120"/>
              <w:rPr>
                <w:rFonts w:ascii="Arial" w:eastAsia="Calibri" w:hAnsi="Arial" w:cs="Arial"/>
                <w:i/>
                <w:sz w:val="22"/>
                <w:szCs w:val="22"/>
              </w:rPr>
            </w:pPr>
            <w:r>
              <w:rPr>
                <w:rFonts w:ascii="Arial" w:eastAsia="Calibri" w:hAnsi="Arial" w:cs="Arial"/>
                <w:i/>
                <w:sz w:val="22"/>
                <w:szCs w:val="22"/>
              </w:rPr>
              <w:t>Add a new definition as follows:</w:t>
            </w:r>
          </w:p>
          <w:p w14:paraId="1781AA39" w14:textId="77777777" w:rsidR="003C1CCF" w:rsidRDefault="007C3C52" w:rsidP="004B22D7">
            <w:pPr>
              <w:spacing w:before="120" w:after="120"/>
              <w:ind w:left="720"/>
              <w:rPr>
                <w:rFonts w:ascii="Arial" w:eastAsia="Calibri" w:hAnsi="Arial" w:cs="Arial"/>
                <w:sz w:val="22"/>
                <w:szCs w:val="22"/>
              </w:rPr>
            </w:pPr>
            <w:proofErr w:type="spellStart"/>
            <w:r>
              <w:rPr>
                <w:rFonts w:ascii="Arial" w:eastAsia="Calibri" w:hAnsi="Arial" w:cs="Arial"/>
                <w:b/>
                <w:sz w:val="22"/>
                <w:szCs w:val="22"/>
              </w:rPr>
              <w:t>Nonconversion</w:t>
            </w:r>
            <w:proofErr w:type="spellEnd"/>
            <w:r>
              <w:rPr>
                <w:rFonts w:ascii="Arial" w:eastAsia="Calibri" w:hAnsi="Arial" w:cs="Arial"/>
                <w:b/>
                <w:sz w:val="22"/>
                <w:szCs w:val="22"/>
              </w:rPr>
              <w:t xml:space="preserve"> Agreement (</w:t>
            </w:r>
            <w:r w:rsidR="003C1CCF" w:rsidRPr="00A67D1E">
              <w:rPr>
                <w:rFonts w:ascii="Arial" w:eastAsia="Calibri" w:hAnsi="Arial" w:cs="Arial"/>
                <w:b/>
                <w:sz w:val="22"/>
                <w:szCs w:val="22"/>
              </w:rPr>
              <w:t>Declaration of Land Restriction)</w:t>
            </w:r>
            <w:r w:rsidR="003C1CCF" w:rsidRPr="00A67D1E">
              <w:rPr>
                <w:rFonts w:ascii="Arial" w:hAnsi="Arial" w:cs="Arial"/>
                <w:b/>
                <w:sz w:val="22"/>
                <w:szCs w:val="22"/>
              </w:rPr>
              <w:t>.</w:t>
            </w:r>
            <w:r w:rsidR="003C1CCF" w:rsidRPr="00A67D1E">
              <w:rPr>
                <w:rFonts w:ascii="Arial" w:eastAsia="Calibri" w:hAnsi="Arial" w:cs="Arial"/>
                <w:sz w:val="22"/>
                <w:szCs w:val="22"/>
              </w:rPr>
              <w:t xml:space="preserve">  A form provided by the Floodplain Administrator to be signed by the owner</w:t>
            </w:r>
            <w:r w:rsidR="003C1CCF" w:rsidRPr="00A67D1E">
              <w:rPr>
                <w:rFonts w:ascii="Arial" w:hAnsi="Arial" w:cs="Arial"/>
                <w:sz w:val="22"/>
                <w:szCs w:val="22"/>
              </w:rPr>
              <w:t xml:space="preserve"> and recorded on the property deed in Official Records of the Clerk of Courts,</w:t>
            </w:r>
            <w:r w:rsidR="003C1CCF" w:rsidRPr="00A67D1E">
              <w:rPr>
                <w:rFonts w:ascii="Arial" w:eastAsia="Calibri" w:hAnsi="Arial" w:cs="Arial"/>
                <w:sz w:val="22"/>
                <w:szCs w:val="22"/>
              </w:rPr>
              <w:t xml:space="preserve"> for the owner to agree not to convert or modify in any manner that is inconsistent with the terms of the </w:t>
            </w:r>
            <w:r w:rsidR="003C1CCF" w:rsidRPr="00A67D1E">
              <w:rPr>
                <w:rFonts w:ascii="Arial" w:hAnsi="Arial" w:cs="Arial"/>
                <w:sz w:val="22"/>
                <w:szCs w:val="22"/>
              </w:rPr>
              <w:t xml:space="preserve">building </w:t>
            </w:r>
            <w:r w:rsidR="003C1CCF" w:rsidRPr="00A67D1E">
              <w:rPr>
                <w:rFonts w:ascii="Arial" w:eastAsia="Calibri" w:hAnsi="Arial" w:cs="Arial"/>
                <w:sz w:val="22"/>
                <w:szCs w:val="22"/>
              </w:rPr>
              <w:t xml:space="preserve">permit and these regulations, </w:t>
            </w:r>
            <w:r w:rsidR="003C1CCF" w:rsidRPr="00A67D1E">
              <w:rPr>
                <w:rFonts w:ascii="Arial" w:hAnsi="Arial" w:cs="Arial"/>
                <w:sz w:val="22"/>
                <w:szCs w:val="22"/>
              </w:rPr>
              <w:t xml:space="preserve">enclosures below elevated </w:t>
            </w:r>
            <w:r w:rsidR="003C1CCF" w:rsidRPr="00A67D1E">
              <w:rPr>
                <w:rFonts w:ascii="Arial" w:eastAsia="Calibri" w:hAnsi="Arial" w:cs="Arial"/>
                <w:b/>
                <w:sz w:val="22"/>
                <w:szCs w:val="22"/>
                <w:u w:val="single"/>
              </w:rPr>
              <w:t>{select one: buildings / dwellings}</w:t>
            </w:r>
            <w:r w:rsidR="003C1CCF" w:rsidRPr="00A67D1E">
              <w:rPr>
                <w:rFonts w:ascii="Arial" w:eastAsia="Calibri" w:hAnsi="Arial" w:cs="Arial"/>
                <w:sz w:val="22"/>
                <w:szCs w:val="22"/>
              </w:rPr>
              <w:t xml:space="preserve">.  </w:t>
            </w:r>
          </w:p>
          <w:p w14:paraId="646C1C94" w14:textId="77777777" w:rsidR="007C3C52" w:rsidRDefault="007C3C52" w:rsidP="007C3C52">
            <w:pPr>
              <w:spacing w:before="120" w:after="120"/>
              <w:rPr>
                <w:rFonts w:ascii="Arial" w:eastAsia="Calibri" w:hAnsi="Arial" w:cs="Arial"/>
                <w:sz w:val="22"/>
                <w:szCs w:val="22"/>
              </w:rPr>
            </w:pPr>
          </w:p>
          <w:p w14:paraId="298FB41F" w14:textId="06D98D08" w:rsidR="007C3C52" w:rsidRPr="007C3C52" w:rsidRDefault="007C3C52" w:rsidP="007C3C52">
            <w:pPr>
              <w:spacing w:before="120" w:after="120"/>
              <w:rPr>
                <w:rFonts w:ascii="Arial" w:eastAsia="Calibri" w:hAnsi="Arial" w:cs="Arial"/>
                <w:i/>
                <w:sz w:val="22"/>
                <w:szCs w:val="22"/>
              </w:rPr>
            </w:pPr>
            <w:r>
              <w:rPr>
                <w:rFonts w:ascii="Arial" w:eastAsia="Calibri" w:hAnsi="Arial" w:cs="Arial"/>
                <w:i/>
                <w:sz w:val="22"/>
                <w:szCs w:val="22"/>
              </w:rPr>
              <w:t>Add an item to the list of what is required to be submitted with applications</w:t>
            </w:r>
            <w:r w:rsidR="000822FB">
              <w:rPr>
                <w:rFonts w:ascii="Arial" w:eastAsia="Calibri" w:hAnsi="Arial" w:cs="Arial"/>
                <w:i/>
                <w:sz w:val="22"/>
                <w:szCs w:val="22"/>
              </w:rPr>
              <w:t xml:space="preserve"> as follows:</w:t>
            </w:r>
          </w:p>
          <w:p w14:paraId="1AA61FE2" w14:textId="5B232452" w:rsidR="007C3C52" w:rsidRPr="000822FB" w:rsidRDefault="007C3C52" w:rsidP="007C3C52">
            <w:pPr>
              <w:ind w:left="720"/>
              <w:contextualSpacing/>
              <w:rPr>
                <w:rFonts w:ascii="Arial" w:hAnsi="Arial" w:cs="Arial"/>
                <w:sz w:val="22"/>
                <w:szCs w:val="22"/>
                <w:u w:val="single"/>
              </w:rPr>
            </w:pPr>
            <w:r w:rsidRPr="000822FB">
              <w:rPr>
                <w:rFonts w:ascii="Arial" w:hAnsi="Arial" w:cs="Arial"/>
                <w:sz w:val="22"/>
                <w:szCs w:val="22"/>
                <w:u w:val="single"/>
              </w:rPr>
              <w:t xml:space="preserve">For projects proposing to enclose areas under elevated buildings, include </w:t>
            </w:r>
            <w:r w:rsidR="00E54027">
              <w:rPr>
                <w:rFonts w:ascii="Arial" w:hAnsi="Arial" w:cs="Arial"/>
                <w:sz w:val="22"/>
                <w:szCs w:val="22"/>
                <w:u w:val="single"/>
              </w:rPr>
              <w:t xml:space="preserve">a </w:t>
            </w:r>
            <w:r w:rsidRPr="000822FB">
              <w:rPr>
                <w:rFonts w:ascii="Arial" w:hAnsi="Arial" w:cs="Arial"/>
                <w:sz w:val="22"/>
                <w:szCs w:val="22"/>
                <w:u w:val="single"/>
              </w:rPr>
              <w:t xml:space="preserve">signed </w:t>
            </w:r>
            <w:proofErr w:type="spellStart"/>
            <w:r w:rsidRPr="000822FB">
              <w:rPr>
                <w:rFonts w:ascii="Arial" w:hAnsi="Arial" w:cs="Arial"/>
                <w:sz w:val="22"/>
                <w:szCs w:val="22"/>
                <w:u w:val="single"/>
              </w:rPr>
              <w:t>Nonconversion</w:t>
            </w:r>
            <w:proofErr w:type="spellEnd"/>
            <w:r w:rsidRPr="000822FB">
              <w:rPr>
                <w:rFonts w:ascii="Arial" w:hAnsi="Arial" w:cs="Arial"/>
                <w:sz w:val="22"/>
                <w:szCs w:val="22"/>
                <w:u w:val="single"/>
              </w:rPr>
              <w:t xml:space="preserve"> Agreement</w:t>
            </w:r>
            <w:r w:rsidR="000822FB" w:rsidRPr="000822FB">
              <w:rPr>
                <w:rFonts w:ascii="Arial" w:hAnsi="Arial" w:cs="Arial"/>
                <w:sz w:val="22"/>
                <w:szCs w:val="22"/>
                <w:u w:val="single"/>
              </w:rPr>
              <w:t xml:space="preserve"> (Declaration of Land Restriction)</w:t>
            </w:r>
            <w:r w:rsidRPr="000822FB">
              <w:rPr>
                <w:rFonts w:ascii="Arial" w:hAnsi="Arial" w:cs="Arial"/>
                <w:sz w:val="22"/>
                <w:szCs w:val="22"/>
                <w:u w:val="single"/>
              </w:rPr>
              <w:t>; the agreement shall be recorded on the property deed prior to issuance of the Certificate of Occupancy.</w:t>
            </w:r>
          </w:p>
          <w:p w14:paraId="25991A73" w14:textId="4CCF6B32" w:rsidR="007C3C52" w:rsidRPr="00A67D1E" w:rsidRDefault="007C3C52" w:rsidP="007C3C52">
            <w:pPr>
              <w:spacing w:before="120" w:after="120"/>
              <w:rPr>
                <w:rFonts w:ascii="Arial" w:hAnsi="Arial" w:cs="Arial"/>
                <w:i/>
                <w:sz w:val="22"/>
                <w:szCs w:val="22"/>
              </w:rPr>
            </w:pPr>
          </w:p>
        </w:tc>
      </w:tr>
    </w:tbl>
    <w:p w14:paraId="5F3B8E35" w14:textId="77777777" w:rsidR="003C1CCF" w:rsidRPr="00A67D1E" w:rsidRDefault="003C1CCF" w:rsidP="003C1CCF">
      <w:pPr>
        <w:rPr>
          <w:rFonts w:ascii="Arial" w:hAnsi="Arial" w:cs="Arial"/>
          <w:sz w:val="22"/>
          <w:szCs w:val="22"/>
        </w:rPr>
      </w:pPr>
    </w:p>
    <w:p w14:paraId="21DA0286" w14:textId="3C1198DC" w:rsidR="005C026D" w:rsidRPr="00A67D1E" w:rsidRDefault="005C026D" w:rsidP="0093485F">
      <w:pPr>
        <w:widowControl/>
        <w:spacing w:before="120" w:after="120"/>
        <w:rPr>
          <w:rFonts w:ascii="Arial" w:hAnsi="Arial" w:cs="Arial"/>
          <w:sz w:val="24"/>
          <w:szCs w:val="24"/>
        </w:rPr>
      </w:pPr>
    </w:p>
    <w:sectPr w:rsidR="005C026D" w:rsidRPr="00A67D1E"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3FD6" w14:textId="77777777" w:rsidR="006A1A91" w:rsidRDefault="006A1A91" w:rsidP="00273EEE">
      <w:r>
        <w:separator/>
      </w:r>
    </w:p>
  </w:endnote>
  <w:endnote w:type="continuationSeparator" w:id="0">
    <w:p w14:paraId="0BC9EA29" w14:textId="77777777" w:rsidR="006A1A91" w:rsidRDefault="006A1A91"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0B2B8340" w:rsidR="00273EEE" w:rsidRPr="00273EEE" w:rsidRDefault="00273EEE">
    <w:pPr>
      <w:pStyle w:val="Footer"/>
      <w:rPr>
        <w:rFonts w:ascii="Arial" w:hAnsi="Arial" w:cs="Arial"/>
      </w:rPr>
    </w:pPr>
    <w:r>
      <w:rPr>
        <w:rFonts w:ascii="Arial" w:hAnsi="Arial" w:cs="Arial"/>
      </w:rPr>
      <w:t xml:space="preserve">Higher Standard:  </w:t>
    </w:r>
    <w:proofErr w:type="spellStart"/>
    <w:r w:rsidR="00981F77" w:rsidRPr="00E63808">
      <w:rPr>
        <w:rFonts w:ascii="Arial" w:hAnsi="Arial" w:cs="Arial"/>
        <w:iCs/>
      </w:rPr>
      <w:t>Nonconversion</w:t>
    </w:r>
    <w:proofErr w:type="spellEnd"/>
    <w:r w:rsidR="00981F77" w:rsidRPr="00E63808">
      <w:rPr>
        <w:rFonts w:ascii="Arial" w:hAnsi="Arial" w:cs="Arial"/>
        <w:iCs/>
      </w:rPr>
      <w:t xml:space="preserve"> Agreement Requirement</w:t>
    </w:r>
    <w:r w:rsidR="0013591C" w:rsidRPr="00E63808">
      <w:rPr>
        <w:rFonts w:ascii="Arial" w:hAnsi="Arial" w:cs="Arial"/>
        <w:iCs/>
      </w:rPr>
      <w:t xml:space="preserve"> </w:t>
    </w:r>
    <w:r w:rsidR="0013591C" w:rsidRPr="005624E0">
      <w:rPr>
        <w:rFonts w:ascii="Arial" w:hAnsi="Arial" w:cs="Arial"/>
      </w:rPr>
      <w:t>(</w:t>
    </w:r>
    <w:r w:rsidR="009305E6">
      <w:rPr>
        <w:rFonts w:ascii="Arial" w:hAnsi="Arial" w:cs="Arial"/>
      </w:rPr>
      <w:t>August</w:t>
    </w:r>
    <w:r w:rsidR="00ED7E52">
      <w:rPr>
        <w:rFonts w:ascii="Arial" w:hAnsi="Arial" w:cs="Arial"/>
      </w:rPr>
      <w:t xml:space="preserve"> 2020</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D25B6A">
      <w:rPr>
        <w:rFonts w:ascii="Arial" w:hAnsi="Arial" w:cs="Arial"/>
        <w:noProof/>
      </w:rPr>
      <w:t>4</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1B56E" w14:textId="77777777" w:rsidR="006A1A91" w:rsidRDefault="006A1A91" w:rsidP="00273EEE">
      <w:r>
        <w:separator/>
      </w:r>
    </w:p>
  </w:footnote>
  <w:footnote w:type="continuationSeparator" w:id="0">
    <w:p w14:paraId="6558AE98" w14:textId="77777777" w:rsidR="006A1A91" w:rsidRDefault="006A1A91" w:rsidP="00273EEE">
      <w:r>
        <w:continuationSeparator/>
      </w:r>
    </w:p>
  </w:footnote>
  <w:footnote w:id="1">
    <w:p w14:paraId="0EB9F7EF" w14:textId="77777777" w:rsidR="00E63808" w:rsidRDefault="00E63808" w:rsidP="00E63808">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37C6D"/>
    <w:multiLevelType w:val="hybridMultilevel"/>
    <w:tmpl w:val="68C6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8071765"/>
    <w:multiLevelType w:val="hybridMultilevel"/>
    <w:tmpl w:val="CA34CDC4"/>
    <w:lvl w:ilvl="0" w:tplc="5566AB8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B6B56"/>
    <w:multiLevelType w:val="hybridMultilevel"/>
    <w:tmpl w:val="8860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19"/>
  </w:num>
  <w:num w:numId="5">
    <w:abstractNumId w:val="8"/>
  </w:num>
  <w:num w:numId="6">
    <w:abstractNumId w:val="12"/>
  </w:num>
  <w:num w:numId="7">
    <w:abstractNumId w:val="21"/>
  </w:num>
  <w:num w:numId="8">
    <w:abstractNumId w:val="6"/>
  </w:num>
  <w:num w:numId="9">
    <w:abstractNumId w:val="10"/>
  </w:num>
  <w:num w:numId="10">
    <w:abstractNumId w:val="2"/>
  </w:num>
  <w:num w:numId="11">
    <w:abstractNumId w:val="7"/>
  </w:num>
  <w:num w:numId="12">
    <w:abstractNumId w:val="15"/>
  </w:num>
  <w:num w:numId="13">
    <w:abstractNumId w:val="14"/>
  </w:num>
  <w:num w:numId="14">
    <w:abstractNumId w:val="16"/>
  </w:num>
  <w:num w:numId="15">
    <w:abstractNumId w:val="18"/>
  </w:num>
  <w:num w:numId="16">
    <w:abstractNumId w:val="1"/>
  </w:num>
  <w:num w:numId="17">
    <w:abstractNumId w:val="0"/>
  </w:num>
  <w:num w:numId="18">
    <w:abstractNumId w:val="5"/>
  </w:num>
  <w:num w:numId="19">
    <w:abstractNumId w:val="13"/>
  </w:num>
  <w:num w:numId="20">
    <w:abstractNumId w:val="11"/>
  </w:num>
  <w:num w:numId="21">
    <w:abstractNumId w:val="3"/>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34E1B"/>
    <w:rsid w:val="000734FA"/>
    <w:rsid w:val="00073D73"/>
    <w:rsid w:val="00075DED"/>
    <w:rsid w:val="00076A36"/>
    <w:rsid w:val="000822FB"/>
    <w:rsid w:val="000957F2"/>
    <w:rsid w:val="000A3BDC"/>
    <w:rsid w:val="000C2239"/>
    <w:rsid w:val="000E170E"/>
    <w:rsid w:val="000E1C06"/>
    <w:rsid w:val="0013591C"/>
    <w:rsid w:val="001443C4"/>
    <w:rsid w:val="0014508F"/>
    <w:rsid w:val="00145EEB"/>
    <w:rsid w:val="00160F6B"/>
    <w:rsid w:val="001C02FF"/>
    <w:rsid w:val="001D289D"/>
    <w:rsid w:val="001E3F2C"/>
    <w:rsid w:val="001E49A9"/>
    <w:rsid w:val="001F16E0"/>
    <w:rsid w:val="001F2688"/>
    <w:rsid w:val="001F317D"/>
    <w:rsid w:val="00207439"/>
    <w:rsid w:val="00212BA0"/>
    <w:rsid w:val="00213C3C"/>
    <w:rsid w:val="00221D55"/>
    <w:rsid w:val="00227DE4"/>
    <w:rsid w:val="00233088"/>
    <w:rsid w:val="00241056"/>
    <w:rsid w:val="002414FB"/>
    <w:rsid w:val="00243696"/>
    <w:rsid w:val="002478C8"/>
    <w:rsid w:val="00255924"/>
    <w:rsid w:val="00256C74"/>
    <w:rsid w:val="002633E6"/>
    <w:rsid w:val="00265724"/>
    <w:rsid w:val="002675D7"/>
    <w:rsid w:val="00273EEE"/>
    <w:rsid w:val="00277B0C"/>
    <w:rsid w:val="002872ED"/>
    <w:rsid w:val="002927D3"/>
    <w:rsid w:val="00294DF4"/>
    <w:rsid w:val="002C4F50"/>
    <w:rsid w:val="002C5760"/>
    <w:rsid w:val="002C6876"/>
    <w:rsid w:val="002C79CE"/>
    <w:rsid w:val="002C7B99"/>
    <w:rsid w:val="002D31EF"/>
    <w:rsid w:val="002D3791"/>
    <w:rsid w:val="002D57EA"/>
    <w:rsid w:val="002E0DB9"/>
    <w:rsid w:val="002F2DE6"/>
    <w:rsid w:val="002F2E51"/>
    <w:rsid w:val="002F54A3"/>
    <w:rsid w:val="003250F4"/>
    <w:rsid w:val="003338E6"/>
    <w:rsid w:val="00342B21"/>
    <w:rsid w:val="00343D8A"/>
    <w:rsid w:val="003505AC"/>
    <w:rsid w:val="003510BB"/>
    <w:rsid w:val="0036563E"/>
    <w:rsid w:val="00376E24"/>
    <w:rsid w:val="00383357"/>
    <w:rsid w:val="00390472"/>
    <w:rsid w:val="00393895"/>
    <w:rsid w:val="00397C44"/>
    <w:rsid w:val="003A660F"/>
    <w:rsid w:val="003C1CCF"/>
    <w:rsid w:val="003C3801"/>
    <w:rsid w:val="003D1DBA"/>
    <w:rsid w:val="003D3DB4"/>
    <w:rsid w:val="003D4EFB"/>
    <w:rsid w:val="003D67F5"/>
    <w:rsid w:val="003E244E"/>
    <w:rsid w:val="003F2DBD"/>
    <w:rsid w:val="003F3865"/>
    <w:rsid w:val="004112CA"/>
    <w:rsid w:val="004118EA"/>
    <w:rsid w:val="00411D73"/>
    <w:rsid w:val="004125A6"/>
    <w:rsid w:val="00415A3C"/>
    <w:rsid w:val="0043177A"/>
    <w:rsid w:val="00464FB6"/>
    <w:rsid w:val="00466CD4"/>
    <w:rsid w:val="00467D6B"/>
    <w:rsid w:val="00483878"/>
    <w:rsid w:val="00490D85"/>
    <w:rsid w:val="004A215D"/>
    <w:rsid w:val="004B22D7"/>
    <w:rsid w:val="004B3031"/>
    <w:rsid w:val="004C44B8"/>
    <w:rsid w:val="004D0BF0"/>
    <w:rsid w:val="004D2D10"/>
    <w:rsid w:val="004E4F45"/>
    <w:rsid w:val="004F5009"/>
    <w:rsid w:val="004F6805"/>
    <w:rsid w:val="00544708"/>
    <w:rsid w:val="00547A32"/>
    <w:rsid w:val="00552A37"/>
    <w:rsid w:val="005624E0"/>
    <w:rsid w:val="00571CED"/>
    <w:rsid w:val="005850DE"/>
    <w:rsid w:val="00586399"/>
    <w:rsid w:val="005A1CA9"/>
    <w:rsid w:val="005C026D"/>
    <w:rsid w:val="005D41A2"/>
    <w:rsid w:val="005F6538"/>
    <w:rsid w:val="00602446"/>
    <w:rsid w:val="00604491"/>
    <w:rsid w:val="006132EE"/>
    <w:rsid w:val="0061390D"/>
    <w:rsid w:val="0061695B"/>
    <w:rsid w:val="0063357B"/>
    <w:rsid w:val="00635249"/>
    <w:rsid w:val="0064517F"/>
    <w:rsid w:val="00661CA7"/>
    <w:rsid w:val="006716BB"/>
    <w:rsid w:val="00680D7D"/>
    <w:rsid w:val="00697451"/>
    <w:rsid w:val="006A1A91"/>
    <w:rsid w:val="006A6520"/>
    <w:rsid w:val="006B67DD"/>
    <w:rsid w:val="006B767D"/>
    <w:rsid w:val="006D7082"/>
    <w:rsid w:val="00706812"/>
    <w:rsid w:val="00706CD4"/>
    <w:rsid w:val="00707D74"/>
    <w:rsid w:val="00710D0D"/>
    <w:rsid w:val="00710D4B"/>
    <w:rsid w:val="00715954"/>
    <w:rsid w:val="00720D79"/>
    <w:rsid w:val="00722E4D"/>
    <w:rsid w:val="00725C52"/>
    <w:rsid w:val="00731796"/>
    <w:rsid w:val="0075066E"/>
    <w:rsid w:val="00756CC3"/>
    <w:rsid w:val="00784178"/>
    <w:rsid w:val="007A6764"/>
    <w:rsid w:val="007C0024"/>
    <w:rsid w:val="007C3C52"/>
    <w:rsid w:val="007C40D9"/>
    <w:rsid w:val="007C6727"/>
    <w:rsid w:val="007D39D5"/>
    <w:rsid w:val="008040A2"/>
    <w:rsid w:val="008051C9"/>
    <w:rsid w:val="0080648C"/>
    <w:rsid w:val="008174C4"/>
    <w:rsid w:val="00822DA4"/>
    <w:rsid w:val="00831D95"/>
    <w:rsid w:val="00836A9A"/>
    <w:rsid w:val="0084585D"/>
    <w:rsid w:val="0085387F"/>
    <w:rsid w:val="00855D7B"/>
    <w:rsid w:val="00857BBD"/>
    <w:rsid w:val="00872CB5"/>
    <w:rsid w:val="008872B8"/>
    <w:rsid w:val="00897708"/>
    <w:rsid w:val="008C55B3"/>
    <w:rsid w:val="008E2A15"/>
    <w:rsid w:val="008F0BD5"/>
    <w:rsid w:val="00916991"/>
    <w:rsid w:val="00927E2D"/>
    <w:rsid w:val="009305E6"/>
    <w:rsid w:val="0093485F"/>
    <w:rsid w:val="00936481"/>
    <w:rsid w:val="0094244D"/>
    <w:rsid w:val="0094569E"/>
    <w:rsid w:val="0095125C"/>
    <w:rsid w:val="00954EA8"/>
    <w:rsid w:val="00957F48"/>
    <w:rsid w:val="0097454B"/>
    <w:rsid w:val="00975AFF"/>
    <w:rsid w:val="00981F77"/>
    <w:rsid w:val="009962C0"/>
    <w:rsid w:val="00997D92"/>
    <w:rsid w:val="009A15A9"/>
    <w:rsid w:val="009A4603"/>
    <w:rsid w:val="009A74DD"/>
    <w:rsid w:val="009B2E58"/>
    <w:rsid w:val="009C0043"/>
    <w:rsid w:val="009C5AE3"/>
    <w:rsid w:val="009D5E5A"/>
    <w:rsid w:val="009E4752"/>
    <w:rsid w:val="009F2B59"/>
    <w:rsid w:val="00A0620E"/>
    <w:rsid w:val="00A43454"/>
    <w:rsid w:val="00A6225D"/>
    <w:rsid w:val="00A65FCE"/>
    <w:rsid w:val="00A67D1E"/>
    <w:rsid w:val="00AD0C4D"/>
    <w:rsid w:val="00AD5EBB"/>
    <w:rsid w:val="00AE6ED4"/>
    <w:rsid w:val="00B00932"/>
    <w:rsid w:val="00B04408"/>
    <w:rsid w:val="00B13135"/>
    <w:rsid w:val="00B21F95"/>
    <w:rsid w:val="00B2565D"/>
    <w:rsid w:val="00B25AD4"/>
    <w:rsid w:val="00B2638B"/>
    <w:rsid w:val="00B4006E"/>
    <w:rsid w:val="00B61CDC"/>
    <w:rsid w:val="00B66A8F"/>
    <w:rsid w:val="00B75958"/>
    <w:rsid w:val="00B777E7"/>
    <w:rsid w:val="00B9420F"/>
    <w:rsid w:val="00BA1740"/>
    <w:rsid w:val="00BA1D14"/>
    <w:rsid w:val="00BB195B"/>
    <w:rsid w:val="00BB4AF1"/>
    <w:rsid w:val="00BB69F2"/>
    <w:rsid w:val="00BD2759"/>
    <w:rsid w:val="00BE5D4B"/>
    <w:rsid w:val="00C04D2B"/>
    <w:rsid w:val="00C054AE"/>
    <w:rsid w:val="00C058D8"/>
    <w:rsid w:val="00C15922"/>
    <w:rsid w:val="00C22B44"/>
    <w:rsid w:val="00C2690C"/>
    <w:rsid w:val="00C3303D"/>
    <w:rsid w:val="00C33B8C"/>
    <w:rsid w:val="00C3424D"/>
    <w:rsid w:val="00C44018"/>
    <w:rsid w:val="00C66EFE"/>
    <w:rsid w:val="00C70A09"/>
    <w:rsid w:val="00C72E7B"/>
    <w:rsid w:val="00C922E3"/>
    <w:rsid w:val="00C96208"/>
    <w:rsid w:val="00CA2450"/>
    <w:rsid w:val="00CA6DF3"/>
    <w:rsid w:val="00CB1698"/>
    <w:rsid w:val="00CB2723"/>
    <w:rsid w:val="00CB4087"/>
    <w:rsid w:val="00CC000B"/>
    <w:rsid w:val="00CD2FB9"/>
    <w:rsid w:val="00CD7E49"/>
    <w:rsid w:val="00CE494B"/>
    <w:rsid w:val="00D043F9"/>
    <w:rsid w:val="00D2297B"/>
    <w:rsid w:val="00D25B6A"/>
    <w:rsid w:val="00D327B8"/>
    <w:rsid w:val="00D40E07"/>
    <w:rsid w:val="00D4263B"/>
    <w:rsid w:val="00D45557"/>
    <w:rsid w:val="00D51D60"/>
    <w:rsid w:val="00D8176D"/>
    <w:rsid w:val="00D8522F"/>
    <w:rsid w:val="00DB3393"/>
    <w:rsid w:val="00DB6C00"/>
    <w:rsid w:val="00DB77C9"/>
    <w:rsid w:val="00DC0C1A"/>
    <w:rsid w:val="00DC70DE"/>
    <w:rsid w:val="00E02465"/>
    <w:rsid w:val="00E040CF"/>
    <w:rsid w:val="00E3643A"/>
    <w:rsid w:val="00E43DBD"/>
    <w:rsid w:val="00E54027"/>
    <w:rsid w:val="00E57BD6"/>
    <w:rsid w:val="00E63808"/>
    <w:rsid w:val="00E7430C"/>
    <w:rsid w:val="00E821F7"/>
    <w:rsid w:val="00E82B2B"/>
    <w:rsid w:val="00E832A3"/>
    <w:rsid w:val="00EB3DD0"/>
    <w:rsid w:val="00EC23D2"/>
    <w:rsid w:val="00EC3F08"/>
    <w:rsid w:val="00ED38D9"/>
    <w:rsid w:val="00ED7E52"/>
    <w:rsid w:val="00ED7F00"/>
    <w:rsid w:val="00F00B45"/>
    <w:rsid w:val="00F049DD"/>
    <w:rsid w:val="00F1173D"/>
    <w:rsid w:val="00F132BC"/>
    <w:rsid w:val="00F13549"/>
    <w:rsid w:val="00F13B0F"/>
    <w:rsid w:val="00F13F41"/>
    <w:rsid w:val="00F14205"/>
    <w:rsid w:val="00F14279"/>
    <w:rsid w:val="00F157CC"/>
    <w:rsid w:val="00F20500"/>
    <w:rsid w:val="00F32CA1"/>
    <w:rsid w:val="00F36893"/>
    <w:rsid w:val="00F4079F"/>
    <w:rsid w:val="00F61785"/>
    <w:rsid w:val="00FB4F76"/>
    <w:rsid w:val="00FC283B"/>
    <w:rsid w:val="00FC3170"/>
    <w:rsid w:val="00FC6295"/>
    <w:rsid w:val="00FC7B4C"/>
    <w:rsid w:val="00FD1DE8"/>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styleId="BodyText">
    <w:name w:val="Body Text"/>
    <w:basedOn w:val="Normal"/>
    <w:link w:val="BodyTextChar"/>
    <w:uiPriority w:val="99"/>
    <w:rsid w:val="00981F77"/>
    <w:pPr>
      <w:widowControl/>
      <w:spacing w:after="180" w:line="264" w:lineRule="auto"/>
    </w:pPr>
    <w:rPr>
      <w:rFonts w:ascii="Franklin Gothic Book" w:hAnsi="Franklin Gothic Book"/>
      <w:snapToGrid/>
      <w:sz w:val="22"/>
    </w:rPr>
  </w:style>
  <w:style w:type="character" w:customStyle="1" w:styleId="BodyTextChar">
    <w:name w:val="Body Text Char"/>
    <w:basedOn w:val="DefaultParagraphFont"/>
    <w:link w:val="BodyText"/>
    <w:uiPriority w:val="99"/>
    <w:rsid w:val="00981F77"/>
    <w:rPr>
      <w:rFonts w:ascii="Franklin Gothic Book" w:eastAsia="Times New Roman" w:hAnsi="Franklin Gothic Book" w:cs="Times New Roman"/>
      <w:szCs w:val="20"/>
    </w:rPr>
  </w:style>
  <w:style w:type="paragraph" w:customStyle="1" w:styleId="RFLTextboxbody">
    <w:name w:val="RFL Textbox body"/>
    <w:rsid w:val="00981F77"/>
    <w:pPr>
      <w:spacing w:before="0" w:after="60"/>
    </w:pPr>
    <w:rPr>
      <w:rFonts w:ascii="Franklin Gothic Book" w:eastAsia="Times New Roman" w:hAnsi="Franklin Gothic Book" w:cs="Times New Roman"/>
      <w:sz w:val="20"/>
      <w:szCs w:val="20"/>
    </w:rPr>
  </w:style>
  <w:style w:type="paragraph" w:customStyle="1" w:styleId="RFLTextboxHeading">
    <w:name w:val="RFL Textbox Heading"/>
    <w:qFormat/>
    <w:rsid w:val="00981F77"/>
    <w:pPr>
      <w:spacing w:before="60" w:after="60"/>
      <w:jc w:val="center"/>
    </w:pPr>
    <w:rPr>
      <w:rFonts w:ascii="Franklin Gothic Book" w:eastAsia="Times New Roman" w:hAnsi="Franklin Gothic Book" w:cs="Times New Roman"/>
      <w:b/>
      <w:bCs/>
      <w:sz w:val="20"/>
    </w:rPr>
  </w:style>
  <w:style w:type="paragraph" w:customStyle="1" w:styleId="StyleIBC1">
    <w:name w:val="Style IBC +1"/>
    <w:basedOn w:val="Normal"/>
    <w:rsid w:val="003C1CCF"/>
    <w:pPr>
      <w:widowControl/>
      <w:spacing w:before="120" w:after="120"/>
    </w:pPr>
    <w:rPr>
      <w:rFonts w:ascii="Times New Roman" w:hAnsi="Times New Roman"/>
      <w:snapToGrid/>
      <w:sz w:val="22"/>
      <w:szCs w:val="22"/>
    </w:rPr>
  </w:style>
  <w:style w:type="character" w:styleId="UnresolvedMention">
    <w:name w:val="Unresolved Mention"/>
    <w:basedOn w:val="DefaultParagraphFont"/>
    <w:uiPriority w:val="99"/>
    <w:semiHidden/>
    <w:unhideWhenUsed/>
    <w:rsid w:val="00930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6846">
      <w:bodyDiv w:val="1"/>
      <w:marLeft w:val="0"/>
      <w:marRight w:val="0"/>
      <w:marTop w:val="0"/>
      <w:marBottom w:val="0"/>
      <w:divBdr>
        <w:top w:val="none" w:sz="0" w:space="0" w:color="auto"/>
        <w:left w:val="none" w:sz="0" w:space="0" w:color="auto"/>
        <w:bottom w:val="none" w:sz="0" w:space="0" w:color="auto"/>
        <w:right w:val="none" w:sz="0" w:space="0" w:color="auto"/>
      </w:divBdr>
    </w:div>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1707-57F3-44D1-96A3-D77DCC15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RCQuinn</dc:creator>
  <cp:lastModifiedBy>Nikki</cp:lastModifiedBy>
  <cp:revision>5</cp:revision>
  <dcterms:created xsi:type="dcterms:W3CDTF">2021-05-06T06:59:00Z</dcterms:created>
  <dcterms:modified xsi:type="dcterms:W3CDTF">2021-05-06T15:00:00Z</dcterms:modified>
</cp:coreProperties>
</file>