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2CAEAF42" w:rsidR="003510BB" w:rsidRDefault="0063391D" w:rsidP="00AD5EBB">
      <w:pPr>
        <w:pStyle w:val="Heading2"/>
        <w:rPr>
          <w:rFonts w:ascii="Arial" w:hAnsi="Arial" w:cs="Arial"/>
          <w:b w:val="0"/>
          <w:sz w:val="28"/>
          <w:szCs w:val="28"/>
        </w:rPr>
      </w:pPr>
      <w:bookmarkStart w:id="0" w:name="_Toc310597890"/>
      <w:r>
        <w:rPr>
          <w:rFonts w:ascii="Arial" w:hAnsi="Arial" w:cs="Arial"/>
          <w:sz w:val="28"/>
          <w:szCs w:val="28"/>
        </w:rPr>
        <w:t>Limitation on Use of Fill</w:t>
      </w:r>
      <w:r w:rsidR="007C6727">
        <w:rPr>
          <w:rFonts w:ascii="Arial" w:hAnsi="Arial" w:cs="Arial"/>
          <w:sz w:val="28"/>
          <w:szCs w:val="28"/>
        </w:rPr>
        <w:t xml:space="preserve"> </w:t>
      </w:r>
      <w:r>
        <w:rPr>
          <w:rFonts w:ascii="Arial" w:hAnsi="Arial" w:cs="Arial"/>
          <w:sz w:val="28"/>
          <w:szCs w:val="28"/>
        </w:rPr>
        <w:t xml:space="preserve">to Support Buildings </w:t>
      </w:r>
      <w:r w:rsidR="003510BB" w:rsidRPr="00680D7D">
        <w:rPr>
          <w:rFonts w:ascii="Arial" w:hAnsi="Arial" w:cs="Arial"/>
          <w:sz w:val="28"/>
          <w:szCs w:val="28"/>
        </w:rPr>
        <w:t xml:space="preserve">– </w:t>
      </w:r>
      <w:bookmarkStart w:id="1" w:name="_Hlk22891799"/>
      <w:bookmarkEnd w:id="0"/>
      <w:r w:rsidR="00471090" w:rsidRPr="008A4D9B">
        <w:rPr>
          <w:rFonts w:ascii="Arial" w:hAnsi="Arial" w:cs="Arial"/>
          <w:b w:val="0"/>
          <w:sz w:val="28"/>
          <w:szCs w:val="28"/>
        </w:rPr>
        <w:t>local technical code amendments (</w:t>
      </w:r>
      <w:r w:rsidR="00471090">
        <w:rPr>
          <w:rFonts w:ascii="Arial" w:hAnsi="Arial" w:cs="Arial"/>
          <w:b w:val="0"/>
          <w:sz w:val="28"/>
          <w:szCs w:val="28"/>
        </w:rPr>
        <w:t>Part 2 building and Part 2.5 residential</w:t>
      </w:r>
      <w:r w:rsidR="00471090" w:rsidRPr="008A4D9B">
        <w:rPr>
          <w:rFonts w:ascii="Arial" w:hAnsi="Arial" w:cs="Arial"/>
          <w:b w:val="0"/>
          <w:sz w:val="28"/>
          <w:szCs w:val="28"/>
        </w:rPr>
        <w:t>)</w:t>
      </w:r>
      <w:bookmarkEnd w:id="1"/>
    </w:p>
    <w:p w14:paraId="4486504B" w14:textId="77777777" w:rsidR="00C71C86" w:rsidRPr="00C71C86" w:rsidRDefault="00C71C86" w:rsidP="00C71C86"/>
    <w:p w14:paraId="35222D18" w14:textId="6FC31480" w:rsidR="1D00EEBF" w:rsidRDefault="00F557DC" w:rsidP="58E7F277">
      <w:r>
        <w:rPr>
          <w:noProof/>
        </w:rPr>
        <mc:AlternateContent>
          <mc:Choice Requires="wps">
            <w:drawing>
              <wp:inline distT="0" distB="0" distL="0" distR="0" wp14:anchorId="035CDA27" wp14:editId="293B7D9B">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4665BDF8" w14:textId="28ED39C6" w:rsidR="00F557DC" w:rsidRDefault="00F557DC" w:rsidP="00F557DC">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C71C86">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8" w:history="1">
                              <w:r w:rsidRPr="0029177C">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9" w:history="1">
                              <w:r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 P</w:t>
                            </w:r>
                            <w:r w:rsidRPr="0029177C">
                              <w:rPr>
                                <w:rFonts w:asciiTheme="minorHAnsi" w:hAnsiTheme="minorHAnsi" w:cstheme="minorHAnsi"/>
                                <w:sz w:val="24"/>
                                <w:szCs w:val="24"/>
                              </w:rPr>
                              <w:t xml:space="preserve">lease put community name in subject line. </w:t>
                            </w:r>
                            <w:r w:rsidR="00714109">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035CDA27"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4665BDF8" w14:textId="28ED39C6" w:rsidR="00F557DC" w:rsidRDefault="00F557DC" w:rsidP="00F557DC">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C71C86">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10" w:history="1">
                        <w:r w:rsidRPr="0029177C">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11" w:history="1">
                        <w:r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 P</w:t>
                      </w:r>
                      <w:r w:rsidRPr="0029177C">
                        <w:rPr>
                          <w:rFonts w:asciiTheme="minorHAnsi" w:hAnsiTheme="minorHAnsi" w:cstheme="minorHAnsi"/>
                          <w:sz w:val="24"/>
                          <w:szCs w:val="24"/>
                        </w:rPr>
                        <w:t xml:space="preserve">lease put community name in subject line. </w:t>
                      </w:r>
                      <w:r w:rsidR="00714109">
                        <w:rPr>
                          <w:rFonts w:asciiTheme="minorHAnsi" w:hAnsiTheme="minorHAnsi" w:cstheme="minorHAnsi"/>
                          <w:sz w:val="24"/>
                          <w:szCs w:val="24"/>
                        </w:rPr>
                        <w:t xml:space="preserve"> </w:t>
                      </w:r>
                    </w:p>
                  </w:txbxContent>
                </v:textbox>
                <w10:anchorlock/>
              </v:shape>
            </w:pict>
          </mc:Fallback>
        </mc:AlternateContent>
      </w:r>
    </w:p>
    <w:p w14:paraId="29F668BD" w14:textId="77777777" w:rsidR="00C71C86" w:rsidRDefault="00C71C86" w:rsidP="58E7F277"/>
    <w:p w14:paraId="362B9489" w14:textId="02E39A21" w:rsidR="00F91BB1" w:rsidRDefault="00F91BB1" w:rsidP="58E7F277">
      <w:pPr>
        <w:rPr>
          <w:rFonts w:asciiTheme="minorHAnsi" w:hAnsiTheme="minorHAnsi" w:cstheme="minorBidi"/>
          <w:snapToGrid/>
          <w:sz w:val="26"/>
          <w:szCs w:val="26"/>
        </w:rPr>
      </w:pPr>
      <w:r w:rsidRPr="58E7F277">
        <w:rPr>
          <w:rFonts w:asciiTheme="minorHAnsi" w:hAnsiTheme="minorHAnsi" w:cstheme="minorBidi"/>
          <w:b/>
          <w:bCs/>
          <w:sz w:val="26"/>
          <w:szCs w:val="26"/>
          <w:u w:val="single"/>
        </w:rPr>
        <w:t>Before you start</w:t>
      </w:r>
      <w:r w:rsidRPr="58E7F277">
        <w:rPr>
          <w:rFonts w:asciiTheme="minorHAnsi" w:hAnsiTheme="minorHAnsi" w:cstheme="minorBidi"/>
          <w:b/>
          <w:bCs/>
          <w:sz w:val="26"/>
          <w:szCs w:val="26"/>
        </w:rPr>
        <w:t xml:space="preserve">:  </w:t>
      </w:r>
      <w:r w:rsidRPr="58E7F277">
        <w:rPr>
          <w:rFonts w:asciiTheme="minorHAnsi" w:hAnsiTheme="minorHAnsi" w:cstheme="minorBidi"/>
          <w:sz w:val="26"/>
          <w:szCs w:val="26"/>
        </w:rPr>
        <w:t>Review the General Instructions for Amending the California Building Standards Code (C</w:t>
      </w:r>
      <w:r w:rsidR="00471090" w:rsidRPr="58E7F277">
        <w:rPr>
          <w:rFonts w:asciiTheme="minorHAnsi" w:hAnsiTheme="minorHAnsi" w:cstheme="minorBidi"/>
          <w:sz w:val="26"/>
          <w:szCs w:val="26"/>
        </w:rPr>
        <w:t>C</w:t>
      </w:r>
      <w:r w:rsidRPr="58E7F277">
        <w:rPr>
          <w:rFonts w:asciiTheme="minorHAnsi" w:hAnsiTheme="minorHAnsi" w:cstheme="minorBidi"/>
          <w:sz w:val="26"/>
          <w:szCs w:val="26"/>
        </w:rPr>
        <w:t>R Title 24) to Adopt Higher Standards for Buildings and Development Located in Flood Hazard Areas.</w:t>
      </w:r>
    </w:p>
    <w:p w14:paraId="0FC3CB97" w14:textId="01B3BCE1" w:rsidR="00AD5EBB" w:rsidRPr="002927D3" w:rsidRDefault="00AD5EBB" w:rsidP="002927D3"/>
    <w:p w14:paraId="68D1D262" w14:textId="3B590E20" w:rsidR="0063391D" w:rsidRDefault="003510BB" w:rsidP="0063391D">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F91BB1">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63391D" w:rsidRPr="0063391D">
        <w:rPr>
          <w:rFonts w:asciiTheme="minorHAnsi" w:hAnsiTheme="minorHAnsi" w:cstheme="minorHAnsi"/>
          <w:sz w:val="26"/>
          <w:szCs w:val="26"/>
        </w:rPr>
        <w:t>Structural fill is a common method of elevating buildings in flood hazard areas not subject to wave action. However, even in floodway fringe areas, the placement of fill may reduce the ability of floodplains along riverine waterways to store and convey floodwater, sometimes increasing water levels. In areas subject to flooding from coastal sources, the placement of fill can contribute to local drainage problems. Using fill can have adverse impact</w:t>
      </w:r>
      <w:r w:rsidR="00C403A1">
        <w:rPr>
          <w:rFonts w:asciiTheme="minorHAnsi" w:hAnsiTheme="minorHAnsi" w:cstheme="minorHAnsi"/>
          <w:sz w:val="26"/>
          <w:szCs w:val="26"/>
        </w:rPr>
        <w:t>s</w:t>
      </w:r>
      <w:r w:rsidR="0063391D" w:rsidRPr="0063391D">
        <w:rPr>
          <w:rFonts w:asciiTheme="minorHAnsi" w:hAnsiTheme="minorHAnsi" w:cstheme="minorHAnsi"/>
          <w:sz w:val="26"/>
          <w:szCs w:val="26"/>
        </w:rPr>
        <w:t xml:space="preserve"> on native vegetation, wetlands, local drainage, infiltration, and water quality.  </w:t>
      </w:r>
    </w:p>
    <w:p w14:paraId="627FACA0" w14:textId="77777777" w:rsidR="00C71C86" w:rsidRPr="0063391D" w:rsidRDefault="00C71C86" w:rsidP="0063391D">
      <w:pPr>
        <w:rPr>
          <w:rFonts w:asciiTheme="minorHAnsi" w:hAnsiTheme="minorHAnsi" w:cstheme="minorHAnsi"/>
          <w:sz w:val="26"/>
          <w:szCs w:val="26"/>
        </w:rPr>
      </w:pPr>
    </w:p>
    <w:p w14:paraId="6566234A" w14:textId="2102A8CB" w:rsidR="00831D95" w:rsidRDefault="00C71C86" w:rsidP="00C71C86">
      <w:pPr>
        <w:jc w:val="center"/>
        <w:rPr>
          <w:rFonts w:asciiTheme="minorHAnsi" w:hAnsiTheme="minorHAnsi" w:cstheme="minorHAnsi"/>
          <w:sz w:val="26"/>
          <w:szCs w:val="26"/>
        </w:rPr>
      </w:pPr>
      <w:r w:rsidRPr="00CF68D3">
        <w:rPr>
          <w:rFonts w:ascii="Arial" w:hAnsi="Arial" w:cs="Arial"/>
          <w:noProof/>
          <w:sz w:val="22"/>
          <w:szCs w:val="22"/>
        </w:rPr>
        <mc:AlternateContent>
          <mc:Choice Requires="wps">
            <w:drawing>
              <wp:inline distT="0" distB="0" distL="0" distR="0" wp14:anchorId="52858E43" wp14:editId="172FD4C8">
                <wp:extent cx="4572000" cy="14046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0E071331" w14:textId="77777777" w:rsidR="00C71C86" w:rsidRDefault="00C71C86" w:rsidP="00C71C8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52858E43"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EJw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L/vCYQnAgAATAQAAA4AAAAAAAAAAAAAAAAALgIAAGRycy9lMm9Eb2Mu&#10;eG1sUEsBAi0AFAAGAAgAAAAhAOrpxL7bAAAABQEAAA8AAAAAAAAAAAAAAAAAgQQAAGRycy9kb3du&#10;cmV2LnhtbFBLBQYAAAAABAAEAPMAAACJBQAAAAA=&#10;">
                <v:textbox style="mso-fit-shape-to-text:t">
                  <w:txbxContent>
                    <w:p w14:paraId="0E071331" w14:textId="77777777" w:rsidR="00C71C86" w:rsidRDefault="00C71C86" w:rsidP="00C71C8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7E1226B2" w14:textId="77777777" w:rsidR="00C71C86" w:rsidRPr="009F2B59" w:rsidRDefault="00C71C86" w:rsidP="0063391D">
      <w:pPr>
        <w:rPr>
          <w:rFonts w:asciiTheme="minorHAnsi" w:hAnsiTheme="minorHAnsi" w:cstheme="minorHAnsi"/>
          <w:sz w:val="26"/>
          <w:szCs w:val="26"/>
        </w:rPr>
      </w:pPr>
    </w:p>
    <w:p w14:paraId="1C64D7D2" w14:textId="18597D63" w:rsidR="00076A36" w:rsidRPr="009F2B59" w:rsidRDefault="0063391D" w:rsidP="000225FA">
      <w:pPr>
        <w:rPr>
          <w:rFonts w:asciiTheme="minorHAnsi" w:hAnsiTheme="minorHAnsi" w:cstheme="minorHAnsi"/>
          <w:sz w:val="26"/>
          <w:szCs w:val="26"/>
        </w:rPr>
      </w:pPr>
      <w:r>
        <w:rPr>
          <w:rFonts w:asciiTheme="minorHAnsi" w:hAnsiTheme="minorHAnsi" w:cstheme="minorHAnsi"/>
          <w:b/>
          <w:sz w:val="26"/>
          <w:szCs w:val="26"/>
          <w:u w:val="single"/>
        </w:rPr>
        <w:t>H</w:t>
      </w:r>
      <w:r w:rsidR="009C5AE3" w:rsidRPr="009F2B59">
        <w:rPr>
          <w:rFonts w:asciiTheme="minorHAnsi" w:hAnsiTheme="minorHAnsi" w:cstheme="minorHAnsi"/>
          <w:b/>
          <w:sz w:val="26"/>
          <w:szCs w:val="26"/>
          <w:u w:val="single"/>
        </w:rPr>
        <w:t xml:space="preserve">ow </w:t>
      </w:r>
      <w:r w:rsidR="008816C7">
        <w:rPr>
          <w:rFonts w:asciiTheme="minorHAnsi" w:hAnsiTheme="minorHAnsi" w:cstheme="minorHAnsi"/>
          <w:b/>
          <w:sz w:val="26"/>
          <w:szCs w:val="26"/>
          <w:u w:val="single"/>
        </w:rPr>
        <w:t xml:space="preserve">NFIP and </w:t>
      </w:r>
      <w:r w:rsidR="00471090">
        <w:rPr>
          <w:rFonts w:asciiTheme="minorHAnsi" w:hAnsiTheme="minorHAnsi" w:cstheme="minorHAnsi"/>
          <w:b/>
          <w:sz w:val="26"/>
          <w:szCs w:val="26"/>
          <w:u w:val="single"/>
        </w:rPr>
        <w:t>CCR Title 24</w:t>
      </w:r>
      <w:r w:rsidR="009C5AE3" w:rsidRPr="009F2B59">
        <w:rPr>
          <w:rFonts w:asciiTheme="minorHAnsi" w:hAnsiTheme="minorHAnsi" w:cstheme="minorHAnsi"/>
          <w:b/>
          <w:sz w:val="26"/>
          <w:szCs w:val="26"/>
          <w:u w:val="single"/>
        </w:rPr>
        <w:t xml:space="preserve"> </w:t>
      </w:r>
      <w:r w:rsidR="0075051E">
        <w:rPr>
          <w:rFonts w:asciiTheme="minorHAnsi" w:hAnsiTheme="minorHAnsi" w:cstheme="minorHAnsi"/>
          <w:b/>
          <w:sz w:val="26"/>
          <w:szCs w:val="26"/>
          <w:u w:val="single"/>
        </w:rPr>
        <w:t xml:space="preserve">Part 2 (buildings) and Part 2.5 (residential) </w:t>
      </w:r>
      <w:r>
        <w:rPr>
          <w:rFonts w:asciiTheme="minorHAnsi" w:hAnsiTheme="minorHAnsi" w:cstheme="minorHAnsi"/>
          <w:b/>
          <w:sz w:val="26"/>
          <w:szCs w:val="26"/>
          <w:u w:val="single"/>
        </w:rPr>
        <w:t>address fill</w:t>
      </w:r>
      <w:r w:rsidR="009C5AE3" w:rsidRPr="009F2B59">
        <w:rPr>
          <w:rFonts w:asciiTheme="minorHAnsi" w:hAnsiTheme="minorHAnsi" w:cstheme="minorHAnsi"/>
          <w:b/>
          <w:sz w:val="26"/>
          <w:szCs w:val="26"/>
        </w:rPr>
        <w:t>:</w:t>
      </w:r>
      <w:r w:rsidR="009C5AE3" w:rsidRPr="009F2B59">
        <w:rPr>
          <w:rFonts w:asciiTheme="minorHAnsi" w:hAnsiTheme="minorHAnsi" w:cstheme="minorHAnsi"/>
          <w:sz w:val="26"/>
          <w:szCs w:val="26"/>
        </w:rPr>
        <w:t xml:space="preserve">  </w:t>
      </w:r>
      <w:r w:rsidRPr="0063391D">
        <w:rPr>
          <w:rFonts w:asciiTheme="minorHAnsi" w:hAnsiTheme="minorHAnsi" w:cstheme="minorHAnsi"/>
          <w:sz w:val="26"/>
          <w:szCs w:val="26"/>
        </w:rPr>
        <w:t xml:space="preserve">The NFIP and the </w:t>
      </w:r>
      <w:r w:rsidR="008816C7">
        <w:rPr>
          <w:rFonts w:asciiTheme="minorHAnsi" w:hAnsiTheme="minorHAnsi" w:cstheme="minorHAnsi"/>
          <w:sz w:val="26"/>
          <w:szCs w:val="26"/>
        </w:rPr>
        <w:t>California building codes</w:t>
      </w:r>
      <w:r w:rsidRPr="0063391D">
        <w:rPr>
          <w:rFonts w:asciiTheme="minorHAnsi" w:hAnsiTheme="minorHAnsi" w:cstheme="minorHAnsi"/>
          <w:sz w:val="26"/>
          <w:szCs w:val="26"/>
        </w:rPr>
        <w:t xml:space="preserve"> do not prohibit the use of fill, although both require submission of engineering analyses when fill and other encroachments are proposed in designated floodways and other riverine flood hazard areas for which BFEs are shown on FIRMs but floodways have not been designated. To prevent the adverse effects of fill, some communities elect to prohibit </w:t>
      </w:r>
      <w:r w:rsidR="008816C7">
        <w:rPr>
          <w:rFonts w:asciiTheme="minorHAnsi" w:hAnsiTheme="minorHAnsi" w:cstheme="minorHAnsi"/>
          <w:sz w:val="26"/>
          <w:szCs w:val="26"/>
        </w:rPr>
        <w:t xml:space="preserve">the use of </w:t>
      </w:r>
      <w:r w:rsidRPr="0063391D">
        <w:rPr>
          <w:rFonts w:asciiTheme="minorHAnsi" w:hAnsiTheme="minorHAnsi" w:cstheme="minorHAnsi"/>
          <w:sz w:val="26"/>
          <w:szCs w:val="26"/>
        </w:rPr>
        <w:t xml:space="preserve">fill </w:t>
      </w:r>
      <w:r w:rsidR="008816C7">
        <w:rPr>
          <w:rFonts w:asciiTheme="minorHAnsi" w:hAnsiTheme="minorHAnsi" w:cstheme="minorHAnsi"/>
          <w:sz w:val="26"/>
          <w:szCs w:val="26"/>
        </w:rPr>
        <w:t xml:space="preserve">to elevated buildings </w:t>
      </w:r>
      <w:r w:rsidRPr="0063391D">
        <w:rPr>
          <w:rFonts w:asciiTheme="minorHAnsi" w:hAnsiTheme="minorHAnsi" w:cstheme="minorHAnsi"/>
          <w:sz w:val="26"/>
          <w:szCs w:val="26"/>
        </w:rPr>
        <w:t xml:space="preserve">in flood hazard areas. Many communities that limit fill do not consider backfilled stem wall foundations to be fill, although some do limit stem wall use. Some communities require compensatory storage </w:t>
      </w:r>
      <w:r w:rsidR="008816C7">
        <w:rPr>
          <w:rFonts w:asciiTheme="minorHAnsi" w:hAnsiTheme="minorHAnsi" w:cstheme="minorHAnsi"/>
          <w:sz w:val="26"/>
          <w:szCs w:val="26"/>
        </w:rPr>
        <w:t>to offset the effects of fill</w:t>
      </w:r>
      <w:r w:rsidR="00C403A1">
        <w:rPr>
          <w:rFonts w:asciiTheme="minorHAnsi" w:hAnsiTheme="minorHAnsi" w:cstheme="minorHAnsi"/>
          <w:sz w:val="26"/>
          <w:szCs w:val="26"/>
        </w:rPr>
        <w:t xml:space="preserve"> (see instructions for amending </w:t>
      </w:r>
      <w:r w:rsidR="0075051E">
        <w:rPr>
          <w:rFonts w:asciiTheme="minorHAnsi" w:hAnsiTheme="minorHAnsi" w:cstheme="minorHAnsi"/>
          <w:sz w:val="26"/>
          <w:szCs w:val="26"/>
        </w:rPr>
        <w:t>Part 2</w:t>
      </w:r>
      <w:r w:rsidR="00C403A1">
        <w:rPr>
          <w:rFonts w:asciiTheme="minorHAnsi" w:hAnsiTheme="minorHAnsi" w:cstheme="minorHAnsi"/>
          <w:sz w:val="26"/>
          <w:szCs w:val="26"/>
        </w:rPr>
        <w:t xml:space="preserve"> Appendix G or local ordinances)</w:t>
      </w:r>
      <w:r w:rsidRPr="0063391D">
        <w:rPr>
          <w:rFonts w:asciiTheme="minorHAnsi" w:hAnsiTheme="minorHAnsi" w:cstheme="minorHAnsi"/>
          <w:sz w:val="26"/>
          <w:szCs w:val="26"/>
        </w:rPr>
        <w:t>.</w:t>
      </w:r>
    </w:p>
    <w:p w14:paraId="7C9B16BC" w14:textId="3C2BFDE8" w:rsidR="008816C7" w:rsidRDefault="00C71C86" w:rsidP="00C71C86">
      <w:pPr>
        <w:widowControl/>
        <w:spacing w:before="120" w:after="120"/>
        <w:jc w:val="center"/>
        <w:rPr>
          <w:rFonts w:asciiTheme="minorHAnsi" w:hAnsiTheme="minorHAnsi" w:cstheme="minorHAnsi"/>
          <w:b/>
          <w:sz w:val="26"/>
          <w:szCs w:val="26"/>
          <w:u w:val="single"/>
        </w:rPr>
      </w:pPr>
      <w:r>
        <w:rPr>
          <w:rFonts w:asciiTheme="minorHAnsi" w:hAnsiTheme="minorHAnsi" w:cstheme="minorHAnsi"/>
          <w:b/>
          <w:noProof/>
          <w:snapToGrid/>
          <w:sz w:val="26"/>
          <w:szCs w:val="26"/>
          <w:u w:val="single"/>
        </w:rPr>
        <w:lastRenderedPageBreak/>
        <mc:AlternateContent>
          <mc:Choice Requires="wps">
            <w:drawing>
              <wp:inline distT="0" distB="0" distL="0" distR="0" wp14:anchorId="33FF649F" wp14:editId="56647A14">
                <wp:extent cx="4572000" cy="1238250"/>
                <wp:effectExtent l="0" t="0" r="19050" b="19050"/>
                <wp:docPr id="1" name="Text Box 1"/>
                <wp:cNvGraphicFramePr/>
                <a:graphic xmlns:a="http://schemas.openxmlformats.org/drawingml/2006/main">
                  <a:graphicData uri="http://schemas.microsoft.com/office/word/2010/wordprocessingShape">
                    <wps:wsp>
                      <wps:cNvSpPr txBox="1"/>
                      <wps:spPr>
                        <a:xfrm>
                          <a:off x="0" y="0"/>
                          <a:ext cx="4572000" cy="1238250"/>
                        </a:xfrm>
                        <a:prstGeom prst="rect">
                          <a:avLst/>
                        </a:prstGeom>
                        <a:solidFill>
                          <a:schemeClr val="lt1"/>
                        </a:solidFill>
                        <a:ln w="6350">
                          <a:solidFill>
                            <a:prstClr val="black"/>
                          </a:solidFill>
                        </a:ln>
                      </wps:spPr>
                      <wps:txbx>
                        <w:txbxContent>
                          <w:p w14:paraId="4404D643" w14:textId="35A474EA" w:rsidR="0063391D" w:rsidRPr="00C71C86" w:rsidRDefault="0063391D" w:rsidP="0063391D">
                            <w:pPr>
                              <w:pStyle w:val="BodyText"/>
                              <w:rPr>
                                <w:rFonts w:asciiTheme="minorHAnsi" w:hAnsiTheme="minorHAnsi" w:cstheme="minorHAnsi"/>
                              </w:rPr>
                            </w:pPr>
                            <w:r w:rsidRPr="00C71C86">
                              <w:rPr>
                                <w:rFonts w:asciiTheme="minorHAnsi" w:hAnsiTheme="minorHAnsi" w:cstheme="minorHAnsi"/>
                                <w:b/>
                                <w:bCs/>
                              </w:rPr>
                              <w:t>Compensatory storage</w:t>
                            </w:r>
                            <w:r w:rsidRPr="00C71C86">
                              <w:rPr>
                                <w:rFonts w:asciiTheme="minorHAnsi" w:hAnsiTheme="minorHAnsi" w:cstheme="minorHAnsi"/>
                              </w:rPr>
                              <w:t xml:space="preserve"> refers to a practice of offsetting the effects of earthen fill or other development encroaching into all or part of the SFHA by providing hydraulically equivalent, excavated floodplain storage capacity. Especially along waterways where buildings are already at</w:t>
                            </w:r>
                            <w:r w:rsidRPr="00C71C86">
                              <w:rPr>
                                <w:rFonts w:asciiTheme="minorHAnsi" w:hAnsiTheme="minorHAnsi" w:cstheme="minorHAnsi"/>
                              </w:rPr>
                              <w:noBreakHyphen/>
                              <w:t xml:space="preserve">risk, compensatory storage can minimize the impact of allowing additional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FF649F" id="Text Box 1" o:spid="_x0000_s1028" type="#_x0000_t202" style="width:5in;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" fillcolor="white [3201]" strokeweight=".5pt">
                <v:textbox>
                  <w:txbxContent>
                    <w:p w14:paraId="4404D643" w14:textId="35A474EA" w:rsidR="0063391D" w:rsidRPr="00C71C86" w:rsidRDefault="0063391D" w:rsidP="0063391D">
                      <w:pPr>
                        <w:pStyle w:val="BodyText"/>
                        <w:rPr>
                          <w:rFonts w:asciiTheme="minorHAnsi" w:hAnsiTheme="minorHAnsi" w:cstheme="minorHAnsi"/>
                        </w:rPr>
                      </w:pPr>
                      <w:r w:rsidRPr="00C71C86">
                        <w:rPr>
                          <w:rFonts w:asciiTheme="minorHAnsi" w:hAnsiTheme="minorHAnsi" w:cstheme="minorHAnsi"/>
                          <w:b/>
                          <w:bCs/>
                        </w:rPr>
                        <w:t>Compensatory storage</w:t>
                      </w:r>
                      <w:r w:rsidRPr="00C71C86">
                        <w:rPr>
                          <w:rFonts w:asciiTheme="minorHAnsi" w:hAnsiTheme="minorHAnsi" w:cstheme="minorHAnsi"/>
                        </w:rPr>
                        <w:t xml:space="preserve"> refers to a practice of offsetting the effects of earthen fill or other development encroaching into all or part of the SFHA by providing hydraulically equivalent, excavated floodplain storage capacity. Especially along waterways where buildings are already at</w:t>
                      </w:r>
                      <w:r w:rsidRPr="00C71C86">
                        <w:rPr>
                          <w:rFonts w:asciiTheme="minorHAnsi" w:hAnsiTheme="minorHAnsi" w:cstheme="minorHAnsi"/>
                        </w:rPr>
                        <w:noBreakHyphen/>
                        <w:t xml:space="preserve">risk, compensatory storage can minimize the impact of allowing additional development. </w:t>
                      </w:r>
                    </w:p>
                  </w:txbxContent>
                </v:textbox>
                <w10:anchorlock/>
              </v:shape>
            </w:pict>
          </mc:Fallback>
        </mc:AlternateContent>
      </w:r>
    </w:p>
    <w:p w14:paraId="54724903" w14:textId="130331D3"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657D8848" w14:textId="34DA206D" w:rsidR="002675D7" w:rsidRPr="009F2B59" w:rsidRDefault="00F91BB1" w:rsidP="002675D7">
      <w:pPr>
        <w:rPr>
          <w:rFonts w:asciiTheme="minorHAnsi" w:hAnsiTheme="minorHAnsi" w:cstheme="minorHAnsi"/>
          <w:b/>
          <w:i/>
          <w:sz w:val="26"/>
          <w:szCs w:val="26"/>
        </w:rPr>
      </w:pPr>
      <w:r w:rsidRPr="00E32FB7">
        <w:rPr>
          <w:rFonts w:asciiTheme="minorHAnsi" w:hAnsiTheme="minorHAnsi" w:cstheme="minorHAnsi"/>
          <w:sz w:val="26"/>
          <w:szCs w:val="26"/>
        </w:rPr>
        <w:t xml:space="preserve">Implementing </w:t>
      </w:r>
      <w:r>
        <w:rPr>
          <w:rFonts w:asciiTheme="minorHAnsi" w:hAnsiTheme="minorHAnsi" w:cstheme="minorHAnsi"/>
          <w:sz w:val="26"/>
          <w:szCs w:val="26"/>
        </w:rPr>
        <w:t xml:space="preserve">limitations on the use of fill </w:t>
      </w:r>
      <w:r w:rsidRPr="00E32FB7">
        <w:rPr>
          <w:rFonts w:asciiTheme="minorHAnsi" w:hAnsiTheme="minorHAnsi" w:cstheme="minorHAnsi"/>
          <w:sz w:val="26"/>
          <w:szCs w:val="26"/>
        </w:rPr>
        <w:t xml:space="preserve">requires modification of </w:t>
      </w:r>
      <w:r w:rsidR="00471090">
        <w:rPr>
          <w:rFonts w:asciiTheme="minorHAnsi" w:hAnsiTheme="minorHAnsi" w:cstheme="minorHAnsi"/>
          <w:sz w:val="26"/>
          <w:szCs w:val="26"/>
        </w:rPr>
        <w:t xml:space="preserve">Part 2 </w:t>
      </w:r>
      <w:r>
        <w:rPr>
          <w:rFonts w:asciiTheme="minorHAnsi" w:hAnsiTheme="minorHAnsi" w:cstheme="minorHAnsi"/>
          <w:sz w:val="26"/>
          <w:szCs w:val="26"/>
        </w:rPr>
        <w:t xml:space="preserve">Section 1612 and </w:t>
      </w:r>
      <w:r w:rsidR="00471090">
        <w:rPr>
          <w:rFonts w:asciiTheme="minorHAnsi" w:hAnsiTheme="minorHAnsi" w:cstheme="minorHAnsi"/>
          <w:sz w:val="26"/>
          <w:szCs w:val="26"/>
        </w:rPr>
        <w:t xml:space="preserve">Part 2.5 </w:t>
      </w:r>
      <w:r>
        <w:rPr>
          <w:rFonts w:asciiTheme="minorHAnsi" w:hAnsiTheme="minorHAnsi" w:cstheme="minorHAnsi"/>
          <w:sz w:val="26"/>
          <w:szCs w:val="26"/>
        </w:rPr>
        <w:t>Section R322.2.3.</w:t>
      </w:r>
    </w:p>
    <w:p w14:paraId="3CEAE054" w14:textId="77777777" w:rsidR="00BB195B" w:rsidRDefault="00BB195B" w:rsidP="009A4603">
      <w:pPr>
        <w:rPr>
          <w:rFonts w:asciiTheme="minorHAnsi" w:hAnsiTheme="minorHAnsi" w:cstheme="minorHAnsi"/>
          <w:sz w:val="26"/>
          <w:szCs w:val="26"/>
        </w:rPr>
      </w:pPr>
    </w:p>
    <w:p w14:paraId="1B6C9208" w14:textId="2F1AD283" w:rsidR="008051C9" w:rsidRDefault="00F91BB1" w:rsidP="008051C9">
      <w:pPr>
        <w:tabs>
          <w:tab w:val="left" w:pos="-720"/>
        </w:tabs>
        <w:suppressAutoHyphens/>
        <w:rPr>
          <w:rFonts w:asciiTheme="minorHAnsi" w:hAnsiTheme="minorHAnsi" w:cstheme="minorHAnsi"/>
          <w:sz w:val="26"/>
          <w:szCs w:val="26"/>
        </w:rPr>
      </w:pPr>
      <w:r w:rsidRPr="00BE2059">
        <w:rPr>
          <w:rFonts w:asciiTheme="minorHAnsi" w:hAnsiTheme="minorHAnsi" w:cstheme="minorHAnsi"/>
          <w:b/>
          <w:sz w:val="26"/>
          <w:szCs w:val="26"/>
        </w:rPr>
        <w:t xml:space="preserve">Step </w:t>
      </w:r>
      <w:r>
        <w:rPr>
          <w:rFonts w:asciiTheme="minorHAnsi" w:hAnsiTheme="minorHAnsi" w:cstheme="minorHAnsi"/>
          <w:b/>
          <w:sz w:val="26"/>
          <w:szCs w:val="26"/>
        </w:rPr>
        <w:t>1</w:t>
      </w:r>
      <w:r w:rsidRPr="00BE2059">
        <w:rPr>
          <w:rFonts w:asciiTheme="minorHAnsi" w:hAnsiTheme="minorHAnsi" w:cstheme="minorHAnsi"/>
          <w:b/>
          <w:sz w:val="26"/>
          <w:szCs w:val="26"/>
        </w:rPr>
        <w:t>.</w:t>
      </w:r>
      <w:r>
        <w:rPr>
          <w:rFonts w:asciiTheme="minorHAnsi" w:hAnsiTheme="minorHAnsi" w:cstheme="minorHAnsi"/>
          <w:b/>
          <w:sz w:val="26"/>
          <w:szCs w:val="26"/>
        </w:rPr>
        <w:t xml:space="preserve"> Amend </w:t>
      </w:r>
      <w:r w:rsidR="00471090">
        <w:rPr>
          <w:rFonts w:asciiTheme="minorHAnsi" w:hAnsiTheme="minorHAnsi" w:cstheme="minorHAnsi"/>
          <w:b/>
          <w:sz w:val="26"/>
          <w:szCs w:val="26"/>
        </w:rPr>
        <w:t>Part 2</w:t>
      </w:r>
      <w:r>
        <w:rPr>
          <w:rFonts w:asciiTheme="minorHAnsi" w:hAnsiTheme="minorHAnsi" w:cstheme="minorHAnsi"/>
          <w:b/>
          <w:sz w:val="26"/>
          <w:szCs w:val="26"/>
        </w:rPr>
        <w:t xml:space="preserve"> </w:t>
      </w:r>
      <w:r>
        <w:rPr>
          <w:rFonts w:asciiTheme="minorHAnsi" w:hAnsiTheme="minorHAnsi" w:cstheme="minorHAnsi"/>
          <w:b/>
          <w:bCs/>
          <w:sz w:val="26"/>
          <w:szCs w:val="26"/>
        </w:rPr>
        <w:t xml:space="preserve">(all buildings except 1- and 2-family dwellings and townhouses less than three stories). </w:t>
      </w:r>
      <w:r>
        <w:rPr>
          <w:rFonts w:asciiTheme="minorHAnsi" w:hAnsiTheme="minorHAnsi" w:cstheme="minorHAnsi"/>
          <w:sz w:val="26"/>
          <w:szCs w:val="26"/>
        </w:rPr>
        <w:t>Add a section to the ordinance that adopts local amendments to the CBC.  To make the changes discernable, maintain strikethrough and underlining.</w:t>
      </w:r>
    </w:p>
    <w:p w14:paraId="7B3FC1BA" w14:textId="77777777" w:rsidR="00F91BB1" w:rsidRPr="009F2B59" w:rsidRDefault="00F91BB1"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0D0983F2" w14:textId="2ACCF644" w:rsidR="00F91BB1" w:rsidRPr="00191F99" w:rsidRDefault="00471090" w:rsidP="00F91BB1">
            <w:pPr>
              <w:pStyle w:val="StyleIBC1"/>
              <w:spacing w:after="60"/>
              <w:rPr>
                <w:rFonts w:ascii="Arial" w:hAnsi="Arial" w:cs="Arial"/>
                <w:i/>
              </w:rPr>
            </w:pPr>
            <w:r>
              <w:rPr>
                <w:rFonts w:ascii="Arial" w:hAnsi="Arial" w:cs="Arial"/>
                <w:bCs/>
                <w:i/>
              </w:rPr>
              <w:t xml:space="preserve">CCR Title 24, Part 2, </w:t>
            </w:r>
            <w:r w:rsidR="00F91BB1">
              <w:rPr>
                <w:rFonts w:ascii="Arial" w:hAnsi="Arial" w:cs="Arial"/>
                <w:i/>
              </w:rPr>
              <w:t xml:space="preserve">Section </w:t>
            </w:r>
            <w:r w:rsidR="0053423C">
              <w:rPr>
                <w:rFonts w:ascii="Arial" w:hAnsi="Arial" w:cs="Arial"/>
                <w:i/>
              </w:rPr>
              <w:t>1612.2</w:t>
            </w:r>
            <w:r w:rsidR="00F91BB1">
              <w:rPr>
                <w:rFonts w:ascii="Arial" w:hAnsi="Arial" w:cs="Arial"/>
                <w:i/>
              </w:rPr>
              <w:t xml:space="preserve"> is hereby amended</w:t>
            </w:r>
            <w:r w:rsidR="00F91BB1" w:rsidRPr="00191F99">
              <w:rPr>
                <w:rFonts w:ascii="Arial" w:hAnsi="Arial" w:cs="Arial"/>
                <w:i/>
              </w:rPr>
              <w:t xml:space="preserve"> as follows:</w:t>
            </w:r>
          </w:p>
          <w:p w14:paraId="6600E8A3" w14:textId="77777777" w:rsidR="000225FA" w:rsidRDefault="000225FA" w:rsidP="009F2B59">
            <w:pPr>
              <w:widowControl/>
              <w:rPr>
                <w:rFonts w:ascii="Arial" w:hAnsi="Arial" w:cs="Arial"/>
                <w:b/>
                <w:sz w:val="22"/>
                <w:szCs w:val="22"/>
              </w:rPr>
            </w:pPr>
          </w:p>
          <w:p w14:paraId="617C6C84" w14:textId="54E36A07" w:rsidR="0063391D" w:rsidRPr="0063391D" w:rsidRDefault="0063391D" w:rsidP="0063391D">
            <w:pPr>
              <w:pStyle w:val="StyleIBC1"/>
              <w:rPr>
                <w:rFonts w:ascii="Arial" w:hAnsi="Arial" w:cs="Arial"/>
              </w:rPr>
            </w:pPr>
            <w:r w:rsidRPr="0063391D">
              <w:rPr>
                <w:rFonts w:ascii="Arial" w:hAnsi="Arial" w:cs="Arial"/>
              </w:rPr>
              <w:t xml:space="preserve">Option 1 (prohibit use of earthen fill pads): </w:t>
            </w:r>
            <w:r w:rsidRPr="008816C7">
              <w:rPr>
                <w:rFonts w:ascii="Arial" w:hAnsi="Arial" w:cs="Arial"/>
                <w:i/>
              </w:rPr>
              <w:t xml:space="preserve">Add new Sec. </w:t>
            </w:r>
            <w:r w:rsidR="0053423C">
              <w:rPr>
                <w:rFonts w:ascii="Arial" w:hAnsi="Arial" w:cs="Arial"/>
                <w:i/>
              </w:rPr>
              <w:t>1612.2</w:t>
            </w:r>
            <w:r w:rsidRPr="008816C7">
              <w:rPr>
                <w:rFonts w:ascii="Arial" w:hAnsi="Arial" w:cs="Arial"/>
                <w:i/>
              </w:rPr>
              <w:t>.1 as follows:</w:t>
            </w:r>
          </w:p>
          <w:p w14:paraId="4B88E1B0" w14:textId="2446E4CE" w:rsidR="0063391D" w:rsidRPr="0063391D" w:rsidRDefault="0053423C" w:rsidP="0063391D">
            <w:pPr>
              <w:pStyle w:val="IBCRequirement"/>
              <w:keepNext w:val="0"/>
              <w:rPr>
                <w:sz w:val="22"/>
                <w:u w:val="single"/>
              </w:rPr>
            </w:pPr>
            <w:r>
              <w:rPr>
                <w:b/>
                <w:sz w:val="22"/>
                <w:u w:val="single"/>
              </w:rPr>
              <w:t>1612.2</w:t>
            </w:r>
            <w:r w:rsidR="0063391D" w:rsidRPr="0063391D">
              <w:rPr>
                <w:b/>
                <w:sz w:val="22"/>
                <w:u w:val="single"/>
              </w:rPr>
              <w:t>.1 Modification of ASCE 24: Limitation on use of structural fill.</w:t>
            </w:r>
            <w:r w:rsidR="0063391D" w:rsidRPr="0063391D">
              <w:rPr>
                <w:sz w:val="22"/>
                <w:u w:val="single"/>
              </w:rPr>
              <w:t xml:space="preserve"> Use of structural fill to elevate buildings and foundations shall not be permitted. </w:t>
            </w:r>
          </w:p>
          <w:p w14:paraId="75BFF7FB" w14:textId="77777777" w:rsidR="0063391D" w:rsidRPr="0063391D" w:rsidRDefault="0063391D" w:rsidP="0063391D">
            <w:pPr>
              <w:pStyle w:val="StyleIBC1"/>
              <w:rPr>
                <w:rFonts w:ascii="Arial" w:hAnsi="Arial" w:cs="Arial"/>
              </w:rPr>
            </w:pPr>
          </w:p>
          <w:p w14:paraId="5D47095B" w14:textId="63952EB1" w:rsidR="0063391D" w:rsidRPr="0063391D" w:rsidRDefault="0063391D" w:rsidP="0063391D">
            <w:pPr>
              <w:pStyle w:val="StyleIBC1"/>
              <w:rPr>
                <w:rFonts w:ascii="Arial" w:hAnsi="Arial" w:cs="Arial"/>
              </w:rPr>
            </w:pPr>
            <w:r w:rsidRPr="0063391D">
              <w:rPr>
                <w:rFonts w:ascii="Arial" w:hAnsi="Arial" w:cs="Arial"/>
              </w:rPr>
              <w:t xml:space="preserve">Option 2 (prohibit use of earthen fill pads and stem wall foundations): </w:t>
            </w:r>
            <w:r w:rsidRPr="008816C7">
              <w:rPr>
                <w:rFonts w:ascii="Arial" w:hAnsi="Arial" w:cs="Arial"/>
                <w:i/>
              </w:rPr>
              <w:t xml:space="preserve">Add new Sec. </w:t>
            </w:r>
            <w:r w:rsidR="0053423C">
              <w:rPr>
                <w:rFonts w:ascii="Arial" w:hAnsi="Arial" w:cs="Arial"/>
                <w:i/>
              </w:rPr>
              <w:t>1612.2</w:t>
            </w:r>
            <w:r w:rsidRPr="008816C7">
              <w:rPr>
                <w:rFonts w:ascii="Arial" w:hAnsi="Arial" w:cs="Arial"/>
                <w:i/>
              </w:rPr>
              <w:t>.1 as follows:</w:t>
            </w:r>
          </w:p>
          <w:p w14:paraId="1F62B99C" w14:textId="7A014358" w:rsidR="008051C9" w:rsidRPr="0063391D" w:rsidRDefault="0053423C" w:rsidP="0063391D">
            <w:pPr>
              <w:pStyle w:val="IBCRequirement"/>
              <w:keepNext w:val="0"/>
              <w:rPr>
                <w:sz w:val="22"/>
                <w:u w:val="single"/>
              </w:rPr>
            </w:pPr>
            <w:r>
              <w:rPr>
                <w:b/>
                <w:sz w:val="22"/>
                <w:u w:val="single"/>
              </w:rPr>
              <w:t>1612.2</w:t>
            </w:r>
            <w:r w:rsidR="0063391D" w:rsidRPr="0063391D">
              <w:rPr>
                <w:b/>
                <w:sz w:val="22"/>
                <w:u w:val="single"/>
              </w:rPr>
              <w:t>.1 Modification of ASCE 24: Limitation on use of structural fill.</w:t>
            </w:r>
            <w:r w:rsidR="0063391D" w:rsidRPr="0063391D">
              <w:rPr>
                <w:sz w:val="22"/>
                <w:u w:val="single"/>
              </w:rPr>
              <w:t xml:space="preserve"> Use of structural fill to elevate buildings and foundations, and use of earthen-filled stem walls, shall not be permitted. </w:t>
            </w:r>
          </w:p>
          <w:p w14:paraId="6223D29E" w14:textId="77777777" w:rsidR="008051C9" w:rsidRDefault="008051C9" w:rsidP="000225FA">
            <w:pPr>
              <w:tabs>
                <w:tab w:val="left" w:pos="432"/>
              </w:tabs>
              <w:ind w:left="360"/>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2D58E710" w14:textId="3ADE1154" w:rsidR="008051C9" w:rsidRDefault="00F91BB1" w:rsidP="008051C9">
      <w:pPr>
        <w:tabs>
          <w:tab w:val="left" w:pos="-720"/>
        </w:tabs>
        <w:suppressAutoHyphens/>
        <w:rPr>
          <w:rFonts w:asciiTheme="minorHAnsi" w:hAnsiTheme="minorHAnsi" w:cstheme="minorHAnsi"/>
          <w:sz w:val="26"/>
          <w:szCs w:val="26"/>
        </w:rPr>
      </w:pPr>
      <w:r w:rsidRPr="00BE2059">
        <w:rPr>
          <w:rFonts w:asciiTheme="minorHAnsi" w:hAnsiTheme="minorHAnsi" w:cstheme="minorHAnsi"/>
          <w:b/>
          <w:sz w:val="26"/>
          <w:szCs w:val="26"/>
        </w:rPr>
        <w:t xml:space="preserve">Step </w:t>
      </w:r>
      <w:r>
        <w:rPr>
          <w:rFonts w:asciiTheme="minorHAnsi" w:hAnsiTheme="minorHAnsi" w:cstheme="minorHAnsi"/>
          <w:b/>
          <w:sz w:val="26"/>
          <w:szCs w:val="26"/>
        </w:rPr>
        <w:t>2</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Pr>
          <w:rFonts w:asciiTheme="minorHAnsi" w:hAnsiTheme="minorHAnsi" w:cstheme="minorHAnsi"/>
          <w:b/>
          <w:bCs/>
          <w:sz w:val="26"/>
          <w:szCs w:val="26"/>
        </w:rPr>
        <w:t xml:space="preserve">Amend </w:t>
      </w:r>
      <w:r w:rsidR="00471090">
        <w:rPr>
          <w:rFonts w:asciiTheme="minorHAnsi" w:hAnsiTheme="minorHAnsi" w:cstheme="minorHAnsi"/>
          <w:b/>
          <w:bCs/>
          <w:sz w:val="26"/>
          <w:szCs w:val="26"/>
        </w:rPr>
        <w:t>Part 2.5</w:t>
      </w:r>
      <w:r>
        <w:rPr>
          <w:rFonts w:asciiTheme="minorHAnsi" w:hAnsiTheme="minorHAnsi" w:cstheme="minorHAnsi"/>
          <w:b/>
          <w:bCs/>
          <w:sz w:val="26"/>
          <w:szCs w:val="26"/>
        </w:rPr>
        <w:t xml:space="preserve"> (1- and 2-family dwellings and townhouses less than three stories). </w:t>
      </w:r>
      <w:r>
        <w:rPr>
          <w:rFonts w:asciiTheme="minorHAnsi" w:hAnsiTheme="minorHAnsi" w:cstheme="minorHAnsi"/>
          <w:sz w:val="26"/>
          <w:szCs w:val="26"/>
        </w:rPr>
        <w:t>Add a section to the ordinance that adopts local amendments to the CRC.  To make the changes discernable, maintain strikethrough and underlining.</w:t>
      </w:r>
    </w:p>
    <w:p w14:paraId="516C072E" w14:textId="77777777" w:rsidR="008816C7" w:rsidRPr="009F2B59" w:rsidRDefault="008816C7"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75051E">
        <w:tc>
          <w:tcPr>
            <w:tcW w:w="8370" w:type="dxa"/>
          </w:tcPr>
          <w:p w14:paraId="76BA493B" w14:textId="14703744" w:rsidR="00F91BB1" w:rsidRPr="00191F99" w:rsidRDefault="00471090" w:rsidP="00F91BB1">
            <w:pPr>
              <w:pStyle w:val="StyleIBC1"/>
              <w:spacing w:after="60"/>
              <w:rPr>
                <w:rFonts w:ascii="Arial" w:hAnsi="Arial" w:cs="Arial"/>
                <w:i/>
              </w:rPr>
            </w:pPr>
            <w:r>
              <w:rPr>
                <w:rFonts w:ascii="Arial" w:hAnsi="Arial" w:cs="Arial"/>
                <w:bCs/>
                <w:i/>
              </w:rPr>
              <w:t xml:space="preserve">CCR Title 24, Part 2.5, </w:t>
            </w:r>
            <w:r w:rsidR="00F91BB1">
              <w:rPr>
                <w:rFonts w:ascii="Arial" w:hAnsi="Arial" w:cs="Arial"/>
                <w:i/>
              </w:rPr>
              <w:t>Section R322.2.3 is hereby amended</w:t>
            </w:r>
            <w:r w:rsidR="00F91BB1" w:rsidRPr="00191F99">
              <w:rPr>
                <w:rFonts w:ascii="Arial" w:hAnsi="Arial" w:cs="Arial"/>
                <w:i/>
              </w:rPr>
              <w:t xml:space="preserve"> as follows:</w:t>
            </w:r>
          </w:p>
          <w:p w14:paraId="45518928" w14:textId="77777777" w:rsidR="008051C9" w:rsidRDefault="008051C9" w:rsidP="008051C9">
            <w:pPr>
              <w:ind w:left="360"/>
              <w:rPr>
                <w:rFonts w:ascii="Times New Roman" w:hAnsi="Times New Roman"/>
                <w:i/>
                <w:sz w:val="24"/>
                <w:szCs w:val="24"/>
              </w:rPr>
            </w:pPr>
          </w:p>
          <w:p w14:paraId="70A6F5A8" w14:textId="77777777" w:rsidR="0063391D" w:rsidRPr="0063391D" w:rsidRDefault="0063391D" w:rsidP="0063391D">
            <w:pPr>
              <w:pStyle w:val="StyleIBC1"/>
              <w:spacing w:before="60" w:after="60"/>
              <w:rPr>
                <w:rFonts w:ascii="Arial" w:hAnsi="Arial" w:cs="Arial"/>
              </w:rPr>
            </w:pPr>
            <w:r w:rsidRPr="0063391D">
              <w:rPr>
                <w:rFonts w:ascii="Arial" w:hAnsi="Arial" w:cs="Arial"/>
              </w:rPr>
              <w:t xml:space="preserve">Option 1 (prohibit use of earthen fill pads): </w:t>
            </w:r>
            <w:r w:rsidRPr="008B7659">
              <w:rPr>
                <w:rFonts w:ascii="Arial" w:hAnsi="Arial" w:cs="Arial"/>
                <w:i/>
              </w:rPr>
              <w:t>Modify Sec. R322.2.3 as follows:</w:t>
            </w:r>
          </w:p>
          <w:p w14:paraId="502B2C5C" w14:textId="18B1017D" w:rsidR="0063391D" w:rsidRPr="0063391D" w:rsidRDefault="0063391D" w:rsidP="0002512E">
            <w:pPr>
              <w:pStyle w:val="IBCRequirement"/>
              <w:keepNext w:val="0"/>
              <w:tabs>
                <w:tab w:val="clear" w:pos="432"/>
                <w:tab w:val="left" w:pos="1755"/>
              </w:tabs>
              <w:spacing w:before="60" w:after="60"/>
              <w:ind w:left="945"/>
              <w:rPr>
                <w:i/>
                <w:sz w:val="22"/>
              </w:rPr>
            </w:pPr>
            <w:r w:rsidRPr="0063391D">
              <w:rPr>
                <w:b/>
                <w:sz w:val="22"/>
              </w:rPr>
              <w:t xml:space="preserve">R322.2.3 Foundation design and construction. </w:t>
            </w:r>
            <w:r w:rsidRPr="0063391D">
              <w:rPr>
                <w:sz w:val="22"/>
                <w:u w:val="single"/>
              </w:rPr>
              <w:t>Use of fill to elevate buildings and foundations shall not be permitted.</w:t>
            </w:r>
            <w:r w:rsidRPr="0063391D">
              <w:rPr>
                <w:sz w:val="22"/>
              </w:rPr>
              <w:t xml:space="preserve"> Foundation walls for all buildings and structures erected in flood hazard areas shall meet the requirements of Chapter 4. </w:t>
            </w:r>
            <w:r w:rsidRPr="0063391D">
              <w:rPr>
                <w:i/>
                <w:sz w:val="22"/>
              </w:rPr>
              <w:t>(remainder unchanged)</w:t>
            </w:r>
          </w:p>
          <w:p w14:paraId="5992C9DD" w14:textId="77777777" w:rsidR="0063391D" w:rsidRPr="0063391D" w:rsidRDefault="0063391D" w:rsidP="0063391D">
            <w:pPr>
              <w:pStyle w:val="IBCRequirement"/>
              <w:keepNext w:val="0"/>
              <w:spacing w:before="60" w:after="60"/>
              <w:rPr>
                <w:i/>
                <w:sz w:val="22"/>
              </w:rPr>
            </w:pPr>
          </w:p>
          <w:p w14:paraId="2351A8DB" w14:textId="501DF149" w:rsidR="0063391D" w:rsidRPr="0063391D" w:rsidRDefault="0063391D" w:rsidP="0063391D">
            <w:pPr>
              <w:pStyle w:val="StyleIBC1"/>
              <w:spacing w:before="60" w:after="60"/>
              <w:rPr>
                <w:rFonts w:ascii="Arial" w:hAnsi="Arial" w:cs="Arial"/>
              </w:rPr>
            </w:pPr>
            <w:r w:rsidRPr="0063391D">
              <w:rPr>
                <w:rFonts w:ascii="Arial" w:hAnsi="Arial" w:cs="Arial"/>
              </w:rPr>
              <w:lastRenderedPageBreak/>
              <w:t xml:space="preserve">Option 2 (prohibit use of earthen fill pads and filled stem wall foundations): </w:t>
            </w:r>
            <w:r w:rsidRPr="008B7659">
              <w:rPr>
                <w:rFonts w:ascii="Arial" w:hAnsi="Arial" w:cs="Arial"/>
                <w:i/>
              </w:rPr>
              <w:t>Modify Sec. R322.2.3</w:t>
            </w:r>
            <w:r w:rsidR="00F92447">
              <w:rPr>
                <w:rFonts w:ascii="Arial" w:hAnsi="Arial" w:cs="Arial"/>
                <w:i/>
              </w:rPr>
              <w:t xml:space="preserve"> and Sec. R322.3.3</w:t>
            </w:r>
            <w:r w:rsidRPr="008B7659">
              <w:rPr>
                <w:rFonts w:ascii="Arial" w:hAnsi="Arial" w:cs="Arial"/>
                <w:i/>
              </w:rPr>
              <w:t xml:space="preserve"> as follows:</w:t>
            </w:r>
          </w:p>
          <w:p w14:paraId="48D2D8C2" w14:textId="77777777" w:rsidR="008051C9" w:rsidRDefault="0063391D" w:rsidP="0063391D">
            <w:pPr>
              <w:ind w:left="864"/>
              <w:rPr>
                <w:rFonts w:ascii="Arial" w:hAnsi="Arial" w:cs="Arial"/>
                <w:i/>
                <w:sz w:val="22"/>
                <w:szCs w:val="22"/>
              </w:rPr>
            </w:pPr>
            <w:r w:rsidRPr="0063391D">
              <w:rPr>
                <w:rFonts w:ascii="Arial" w:hAnsi="Arial" w:cs="Arial"/>
                <w:b/>
                <w:sz w:val="22"/>
                <w:szCs w:val="22"/>
              </w:rPr>
              <w:t xml:space="preserve">R322.2.3 Foundation design and construction. </w:t>
            </w:r>
            <w:r w:rsidRPr="0063391D">
              <w:rPr>
                <w:rFonts w:ascii="Arial" w:hAnsi="Arial" w:cs="Arial"/>
                <w:sz w:val="22"/>
                <w:szCs w:val="22"/>
                <w:u w:val="single"/>
              </w:rPr>
              <w:t>Use of fill to elevate buildings and foundations, and use of earthen-filled stem walls, shall not be permitted.</w:t>
            </w:r>
            <w:r w:rsidRPr="0063391D">
              <w:rPr>
                <w:rFonts w:ascii="Arial" w:hAnsi="Arial" w:cs="Arial"/>
                <w:sz w:val="22"/>
                <w:szCs w:val="22"/>
              </w:rPr>
              <w:t xml:space="preserve"> Foundation walls for all buildings and structures erected in flood hazard areas shall meet the requirements of Chapter 4. </w:t>
            </w:r>
            <w:r w:rsidRPr="0063391D">
              <w:rPr>
                <w:rFonts w:ascii="Arial" w:hAnsi="Arial" w:cs="Arial"/>
                <w:i/>
                <w:sz w:val="22"/>
                <w:szCs w:val="22"/>
              </w:rPr>
              <w:t>(remainder unchanged)</w:t>
            </w:r>
          </w:p>
          <w:p w14:paraId="72740852" w14:textId="77777777" w:rsidR="0063391D" w:rsidRPr="00F92447" w:rsidRDefault="0063391D" w:rsidP="00F92447">
            <w:pPr>
              <w:ind w:left="1440"/>
              <w:rPr>
                <w:rFonts w:ascii="Arial" w:hAnsi="Arial" w:cs="Arial"/>
                <w:sz w:val="22"/>
                <w:szCs w:val="22"/>
              </w:rPr>
            </w:pPr>
          </w:p>
          <w:p w14:paraId="68702F4B" w14:textId="77777777" w:rsidR="00F92447" w:rsidRPr="00F92447" w:rsidRDefault="00F92447" w:rsidP="00F92447">
            <w:pPr>
              <w:ind w:left="576"/>
              <w:rPr>
                <w:rFonts w:ascii="Arial" w:hAnsi="Arial" w:cs="Arial"/>
                <w:sz w:val="22"/>
                <w:szCs w:val="22"/>
              </w:rPr>
            </w:pPr>
            <w:r w:rsidRPr="00F92447">
              <w:rPr>
                <w:rFonts w:ascii="Arial" w:hAnsi="Arial" w:cs="Arial"/>
                <w:b/>
                <w:sz w:val="22"/>
                <w:szCs w:val="22"/>
              </w:rPr>
              <w:t>R322.3.3 Foundations.</w:t>
            </w:r>
            <w:r w:rsidRPr="00F92447">
              <w:rPr>
                <w:rFonts w:ascii="Arial" w:hAnsi="Arial" w:cs="Arial"/>
                <w:sz w:val="22"/>
                <w:szCs w:val="22"/>
              </w:rPr>
              <w:t xml:space="preserve"> Buildings and structures erected in coastal high-hazard areas and Coastal A Zones shall be supported on pilings or columns and shall be adequately anchored to such pilings or columns. The space below the elevated building shall be either free of obstruction or, if enclosed with walls, the walls shall meet the requirements of Section R322.3.5. Pilings shall have adequate soil penetrations to resist the combined wave and wind loads (lateral and uplift). Water-loading values used shall be those associated with the design flood. Wind-loading values shall be those required by this code. Pile embedment shall include consideration of decreased resistance capacity caused by scour of soil strata surrounding the piling. Pile systems design and installation shall be certified in accordance with Section R322.3.9. Spread footing, mat, raft or other foundations that support columns shall not be permitted where soil investigations that are required in accordance with Section R401.4 indicate that soil material under the spread footing, mat, raft or other foundation is subject to scour or erosion from wave-velocity flow conditions. If permitted, spread footing, mat, raft or other foundations that support columns shall be designed in accordance with ASCE 24. </w:t>
            </w:r>
          </w:p>
          <w:p w14:paraId="32D333AD" w14:textId="77777777" w:rsidR="00F92447" w:rsidRPr="00F92447" w:rsidRDefault="00F92447" w:rsidP="00F92447">
            <w:pPr>
              <w:ind w:left="1008"/>
              <w:rPr>
                <w:rFonts w:ascii="Arial" w:hAnsi="Arial" w:cs="Arial"/>
                <w:strike/>
                <w:sz w:val="22"/>
                <w:szCs w:val="22"/>
              </w:rPr>
            </w:pPr>
            <w:r w:rsidRPr="00F92447">
              <w:rPr>
                <w:rFonts w:ascii="Arial" w:hAnsi="Arial" w:cs="Arial"/>
                <w:b/>
                <w:strike/>
                <w:sz w:val="22"/>
                <w:szCs w:val="22"/>
              </w:rPr>
              <w:t>Exception:</w:t>
            </w:r>
            <w:r w:rsidRPr="00F92447">
              <w:rPr>
                <w:rFonts w:ascii="Arial" w:hAnsi="Arial" w:cs="Arial"/>
                <w:strike/>
                <w:sz w:val="22"/>
                <w:szCs w:val="22"/>
              </w:rPr>
              <w:t xml:space="preserve"> In Coastal A Zones, stem wall foundations supporting a floor system above and backfilled with soil or gravel to the underside of the floor system shall be permitted provided the foundations are designed to account for wave action, debris impact, erosion and local scour. Where soils are susceptible to erosion and local scour, stem wall foundations shall have deep footings to account for the loss of soil.  </w:t>
            </w:r>
          </w:p>
          <w:p w14:paraId="51998CC9" w14:textId="10DEA7AA" w:rsidR="00F92447" w:rsidRDefault="00F92447" w:rsidP="0063391D">
            <w:pPr>
              <w:ind w:left="864"/>
              <w:rPr>
                <w:rFonts w:ascii="Arial" w:hAnsi="Arial" w:cs="Arial"/>
                <w:sz w:val="22"/>
                <w:szCs w:val="22"/>
              </w:rPr>
            </w:pPr>
          </w:p>
        </w:tc>
      </w:tr>
    </w:tbl>
    <w:p w14:paraId="21DA0286" w14:textId="068B390B" w:rsidR="005C026D" w:rsidRPr="005D41A2" w:rsidRDefault="005C026D" w:rsidP="00F91BB1">
      <w:pPr>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472D" w14:textId="77777777" w:rsidR="00687A5A" w:rsidRDefault="00687A5A" w:rsidP="00273EEE">
      <w:r>
        <w:separator/>
      </w:r>
    </w:p>
  </w:endnote>
  <w:endnote w:type="continuationSeparator" w:id="0">
    <w:p w14:paraId="57207354" w14:textId="77777777" w:rsidR="00687A5A" w:rsidRDefault="00687A5A"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2A4646BC" w:rsidR="00273EEE" w:rsidRPr="00273EEE" w:rsidRDefault="00273EEE">
    <w:pPr>
      <w:pStyle w:val="Footer"/>
      <w:rPr>
        <w:rFonts w:ascii="Arial" w:hAnsi="Arial" w:cs="Arial"/>
      </w:rPr>
    </w:pPr>
    <w:r>
      <w:rPr>
        <w:rFonts w:ascii="Arial" w:hAnsi="Arial" w:cs="Arial"/>
      </w:rPr>
      <w:t xml:space="preserve">Higher Standard: </w:t>
    </w:r>
    <w:r w:rsidR="0063391D" w:rsidRPr="00F91BB1">
      <w:rPr>
        <w:rFonts w:ascii="Arial" w:hAnsi="Arial" w:cs="Arial"/>
        <w:iCs/>
      </w:rPr>
      <w:t>Limitation on Use of Fill</w:t>
    </w:r>
    <w:r w:rsidR="0013591C" w:rsidRPr="00F91BB1">
      <w:rPr>
        <w:rFonts w:ascii="Arial" w:hAnsi="Arial" w:cs="Arial"/>
        <w:iCs/>
      </w:rPr>
      <w:t xml:space="preserve"> </w:t>
    </w:r>
    <w:r w:rsidR="0013591C" w:rsidRPr="005624E0">
      <w:rPr>
        <w:rFonts w:ascii="Arial" w:hAnsi="Arial" w:cs="Arial"/>
      </w:rPr>
      <w:t>(</w:t>
    </w:r>
    <w:r w:rsidR="00C71C86">
      <w:rPr>
        <w:rFonts w:ascii="Arial" w:hAnsi="Arial" w:cs="Arial"/>
      </w:rPr>
      <w:t>December</w:t>
    </w:r>
    <w:r w:rsidR="00471090">
      <w:rPr>
        <w:rFonts w:ascii="Arial" w:hAnsi="Arial" w:cs="Arial"/>
      </w:rPr>
      <w:t xml:space="preserve"> 2020</w:t>
    </w:r>
    <w:r w:rsidR="009F2B59">
      <w:rPr>
        <w:rFonts w:ascii="Arial" w:hAnsi="Arial" w:cs="Arial"/>
      </w:rPr>
      <w:t>)</w:t>
    </w:r>
    <w:r w:rsidR="00F91BB1">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F92447">
      <w:rPr>
        <w:rFonts w:ascii="Arial" w:hAnsi="Arial" w:cs="Arial"/>
        <w:noProof/>
      </w:rPr>
      <w:t>3</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F7E2" w14:textId="77777777" w:rsidR="00687A5A" w:rsidRDefault="00687A5A" w:rsidP="00273EEE">
      <w:r>
        <w:separator/>
      </w:r>
    </w:p>
  </w:footnote>
  <w:footnote w:type="continuationSeparator" w:id="0">
    <w:p w14:paraId="6CAFFEFC" w14:textId="77777777" w:rsidR="00687A5A" w:rsidRDefault="00687A5A" w:rsidP="00273EEE">
      <w:r>
        <w:continuationSeparator/>
      </w:r>
    </w:p>
  </w:footnote>
  <w:footnote w:id="1">
    <w:p w14:paraId="30EB21CB" w14:textId="77777777" w:rsidR="00F91BB1" w:rsidRDefault="00F91BB1" w:rsidP="00F91BB1">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38B041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7"/>
  </w:num>
  <w:num w:numId="5">
    <w:abstractNumId w:val="7"/>
  </w:num>
  <w:num w:numId="6">
    <w:abstractNumId w:val="11"/>
  </w:num>
  <w:num w:numId="7">
    <w:abstractNumId w:val="19"/>
  </w:num>
  <w:num w:numId="8">
    <w:abstractNumId w:val="5"/>
  </w:num>
  <w:num w:numId="9">
    <w:abstractNumId w:val="9"/>
  </w:num>
  <w:num w:numId="10">
    <w:abstractNumId w:val="2"/>
  </w:num>
  <w:num w:numId="11">
    <w:abstractNumId w:val="6"/>
  </w:num>
  <w:num w:numId="12">
    <w:abstractNumId w:val="14"/>
  </w:num>
  <w:num w:numId="13">
    <w:abstractNumId w:val="13"/>
  </w:num>
  <w:num w:numId="14">
    <w:abstractNumId w:val="15"/>
  </w:num>
  <w:num w:numId="15">
    <w:abstractNumId w:val="16"/>
  </w:num>
  <w:num w:numId="16">
    <w:abstractNumId w:val="1"/>
  </w:num>
  <w:num w:numId="17">
    <w:abstractNumId w:val="0"/>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12E"/>
    <w:rsid w:val="0002562F"/>
    <w:rsid w:val="00025762"/>
    <w:rsid w:val="0002685B"/>
    <w:rsid w:val="000322E0"/>
    <w:rsid w:val="00032C2A"/>
    <w:rsid w:val="00034CAC"/>
    <w:rsid w:val="000734FA"/>
    <w:rsid w:val="00073D73"/>
    <w:rsid w:val="00075DED"/>
    <w:rsid w:val="00076A36"/>
    <w:rsid w:val="000957F2"/>
    <w:rsid w:val="000A3BDC"/>
    <w:rsid w:val="000E170E"/>
    <w:rsid w:val="0013591C"/>
    <w:rsid w:val="001443C4"/>
    <w:rsid w:val="00145EEB"/>
    <w:rsid w:val="00160F6B"/>
    <w:rsid w:val="001D289D"/>
    <w:rsid w:val="001E3F2C"/>
    <w:rsid w:val="001E49A9"/>
    <w:rsid w:val="001F16E0"/>
    <w:rsid w:val="001F2688"/>
    <w:rsid w:val="001F317D"/>
    <w:rsid w:val="00207439"/>
    <w:rsid w:val="00212BA0"/>
    <w:rsid w:val="00213C3C"/>
    <w:rsid w:val="00221D55"/>
    <w:rsid w:val="00223D80"/>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97762"/>
    <w:rsid w:val="002C4F50"/>
    <w:rsid w:val="002C5760"/>
    <w:rsid w:val="002C6876"/>
    <w:rsid w:val="002C79CE"/>
    <w:rsid w:val="002C7B99"/>
    <w:rsid w:val="002D167C"/>
    <w:rsid w:val="002D31EF"/>
    <w:rsid w:val="002D3791"/>
    <w:rsid w:val="002D57EA"/>
    <w:rsid w:val="002E0DB9"/>
    <w:rsid w:val="002E3C8E"/>
    <w:rsid w:val="002F54A3"/>
    <w:rsid w:val="00342B21"/>
    <w:rsid w:val="00343D8A"/>
    <w:rsid w:val="003505AC"/>
    <w:rsid w:val="003510BB"/>
    <w:rsid w:val="0036563E"/>
    <w:rsid w:val="00376E24"/>
    <w:rsid w:val="00383357"/>
    <w:rsid w:val="00397C44"/>
    <w:rsid w:val="003A660F"/>
    <w:rsid w:val="003C3801"/>
    <w:rsid w:val="003D3DB4"/>
    <w:rsid w:val="003D4EFB"/>
    <w:rsid w:val="003D67F5"/>
    <w:rsid w:val="003E244E"/>
    <w:rsid w:val="003F2DBD"/>
    <w:rsid w:val="003F3865"/>
    <w:rsid w:val="004112CA"/>
    <w:rsid w:val="004118EA"/>
    <w:rsid w:val="00411D73"/>
    <w:rsid w:val="00415A3C"/>
    <w:rsid w:val="0043177A"/>
    <w:rsid w:val="00437DA3"/>
    <w:rsid w:val="00464FB6"/>
    <w:rsid w:val="00466CD4"/>
    <w:rsid w:val="00467D6B"/>
    <w:rsid w:val="00471090"/>
    <w:rsid w:val="00490D85"/>
    <w:rsid w:val="004A04FB"/>
    <w:rsid w:val="004A215D"/>
    <w:rsid w:val="004B3031"/>
    <w:rsid w:val="004C44B8"/>
    <w:rsid w:val="004D0BF0"/>
    <w:rsid w:val="004D2D10"/>
    <w:rsid w:val="004E4F45"/>
    <w:rsid w:val="004F5009"/>
    <w:rsid w:val="004F6805"/>
    <w:rsid w:val="0051146B"/>
    <w:rsid w:val="0053423C"/>
    <w:rsid w:val="00547A32"/>
    <w:rsid w:val="005521E7"/>
    <w:rsid w:val="00552A37"/>
    <w:rsid w:val="005624E0"/>
    <w:rsid w:val="00571CED"/>
    <w:rsid w:val="005850DE"/>
    <w:rsid w:val="00586399"/>
    <w:rsid w:val="005A1CA9"/>
    <w:rsid w:val="005C026D"/>
    <w:rsid w:val="005D41A2"/>
    <w:rsid w:val="005F6538"/>
    <w:rsid w:val="00602446"/>
    <w:rsid w:val="00604491"/>
    <w:rsid w:val="0061390D"/>
    <w:rsid w:val="0061695B"/>
    <w:rsid w:val="0063391D"/>
    <w:rsid w:val="0064517F"/>
    <w:rsid w:val="00661CA7"/>
    <w:rsid w:val="006716BB"/>
    <w:rsid w:val="00680D7D"/>
    <w:rsid w:val="00687A5A"/>
    <w:rsid w:val="00697451"/>
    <w:rsid w:val="006A6520"/>
    <w:rsid w:val="006B67DD"/>
    <w:rsid w:val="006B767D"/>
    <w:rsid w:val="006D7082"/>
    <w:rsid w:val="00706812"/>
    <w:rsid w:val="00706CD4"/>
    <w:rsid w:val="00707D74"/>
    <w:rsid w:val="00710D0D"/>
    <w:rsid w:val="00714109"/>
    <w:rsid w:val="00715954"/>
    <w:rsid w:val="00720D79"/>
    <w:rsid w:val="0072492E"/>
    <w:rsid w:val="00725C52"/>
    <w:rsid w:val="00727572"/>
    <w:rsid w:val="0075051E"/>
    <w:rsid w:val="0075066E"/>
    <w:rsid w:val="00756CC3"/>
    <w:rsid w:val="00784178"/>
    <w:rsid w:val="007A6764"/>
    <w:rsid w:val="007C0024"/>
    <w:rsid w:val="007C6727"/>
    <w:rsid w:val="007D39D5"/>
    <w:rsid w:val="008040A2"/>
    <w:rsid w:val="008051C9"/>
    <w:rsid w:val="0080648C"/>
    <w:rsid w:val="008174C4"/>
    <w:rsid w:val="00822DA4"/>
    <w:rsid w:val="00831D95"/>
    <w:rsid w:val="00836A9A"/>
    <w:rsid w:val="0084585D"/>
    <w:rsid w:val="0085387F"/>
    <w:rsid w:val="00855D7B"/>
    <w:rsid w:val="00857BBD"/>
    <w:rsid w:val="008816C7"/>
    <w:rsid w:val="00897708"/>
    <w:rsid w:val="008B7659"/>
    <w:rsid w:val="008B7730"/>
    <w:rsid w:val="008D23E5"/>
    <w:rsid w:val="008F0BD5"/>
    <w:rsid w:val="009001F8"/>
    <w:rsid w:val="00927E2D"/>
    <w:rsid w:val="0093485F"/>
    <w:rsid w:val="00936481"/>
    <w:rsid w:val="0094244D"/>
    <w:rsid w:val="0095125C"/>
    <w:rsid w:val="00954EA8"/>
    <w:rsid w:val="00965268"/>
    <w:rsid w:val="00975A9C"/>
    <w:rsid w:val="00975AFF"/>
    <w:rsid w:val="009962C0"/>
    <w:rsid w:val="00997D92"/>
    <w:rsid w:val="009A4603"/>
    <w:rsid w:val="009A74DD"/>
    <w:rsid w:val="009B2E58"/>
    <w:rsid w:val="009C0043"/>
    <w:rsid w:val="009C5AE3"/>
    <w:rsid w:val="009D4623"/>
    <w:rsid w:val="009D5E5A"/>
    <w:rsid w:val="009F2B59"/>
    <w:rsid w:val="00A0620E"/>
    <w:rsid w:val="00A43454"/>
    <w:rsid w:val="00A65FCE"/>
    <w:rsid w:val="00AD0C4D"/>
    <w:rsid w:val="00AD5EBB"/>
    <w:rsid w:val="00AE6ED4"/>
    <w:rsid w:val="00B00932"/>
    <w:rsid w:val="00B13135"/>
    <w:rsid w:val="00B21F95"/>
    <w:rsid w:val="00B2565D"/>
    <w:rsid w:val="00B25AD4"/>
    <w:rsid w:val="00B2638B"/>
    <w:rsid w:val="00B4006E"/>
    <w:rsid w:val="00B61CDC"/>
    <w:rsid w:val="00B75958"/>
    <w:rsid w:val="00B777E7"/>
    <w:rsid w:val="00B9420F"/>
    <w:rsid w:val="00BA1D14"/>
    <w:rsid w:val="00BB195B"/>
    <w:rsid w:val="00BB4AF1"/>
    <w:rsid w:val="00BB69F2"/>
    <w:rsid w:val="00C04D2B"/>
    <w:rsid w:val="00C054AE"/>
    <w:rsid w:val="00C058D8"/>
    <w:rsid w:val="00C22B44"/>
    <w:rsid w:val="00C2690C"/>
    <w:rsid w:val="00C3303D"/>
    <w:rsid w:val="00C33B8C"/>
    <w:rsid w:val="00C3424D"/>
    <w:rsid w:val="00C403A1"/>
    <w:rsid w:val="00C44018"/>
    <w:rsid w:val="00C459CD"/>
    <w:rsid w:val="00C51539"/>
    <w:rsid w:val="00C66E1B"/>
    <w:rsid w:val="00C66EFE"/>
    <w:rsid w:val="00C70A09"/>
    <w:rsid w:val="00C71C86"/>
    <w:rsid w:val="00C72E7B"/>
    <w:rsid w:val="00C800F8"/>
    <w:rsid w:val="00C922E3"/>
    <w:rsid w:val="00C96208"/>
    <w:rsid w:val="00CA2450"/>
    <w:rsid w:val="00CA6DF3"/>
    <w:rsid w:val="00CB1698"/>
    <w:rsid w:val="00CB2723"/>
    <w:rsid w:val="00CD2FB9"/>
    <w:rsid w:val="00CD7E49"/>
    <w:rsid w:val="00CE494B"/>
    <w:rsid w:val="00CF7A40"/>
    <w:rsid w:val="00D043F9"/>
    <w:rsid w:val="00D4263B"/>
    <w:rsid w:val="00D51D60"/>
    <w:rsid w:val="00D675DF"/>
    <w:rsid w:val="00D8176D"/>
    <w:rsid w:val="00D8522F"/>
    <w:rsid w:val="00DB3393"/>
    <w:rsid w:val="00DB6C00"/>
    <w:rsid w:val="00DB77C9"/>
    <w:rsid w:val="00DC0C1A"/>
    <w:rsid w:val="00E02465"/>
    <w:rsid w:val="00E3643A"/>
    <w:rsid w:val="00E43DBD"/>
    <w:rsid w:val="00E57BD6"/>
    <w:rsid w:val="00E7430C"/>
    <w:rsid w:val="00E821F7"/>
    <w:rsid w:val="00E832A3"/>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32CA1"/>
    <w:rsid w:val="00F4079F"/>
    <w:rsid w:val="00F557DC"/>
    <w:rsid w:val="00F61785"/>
    <w:rsid w:val="00F91BB1"/>
    <w:rsid w:val="00F92447"/>
    <w:rsid w:val="00FB4F76"/>
    <w:rsid w:val="00FC283B"/>
    <w:rsid w:val="00FC3170"/>
    <w:rsid w:val="00FC6295"/>
    <w:rsid w:val="00FC7B4C"/>
    <w:rsid w:val="00FD1DE8"/>
    <w:rsid w:val="00FE1AC3"/>
    <w:rsid w:val="00FE5B78"/>
    <w:rsid w:val="00FF011B"/>
    <w:rsid w:val="00FF0493"/>
    <w:rsid w:val="00FF283B"/>
    <w:rsid w:val="1D00EEBF"/>
    <w:rsid w:val="29CB0253"/>
    <w:rsid w:val="58E7F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styleId="BodyText">
    <w:name w:val="Body Text"/>
    <w:basedOn w:val="Normal"/>
    <w:link w:val="BodyTextChar"/>
    <w:uiPriority w:val="99"/>
    <w:rsid w:val="0063391D"/>
    <w:pPr>
      <w:widowControl/>
      <w:spacing w:after="180" w:line="264" w:lineRule="auto"/>
    </w:pPr>
    <w:rPr>
      <w:rFonts w:ascii="Franklin Gothic Book" w:hAnsi="Franklin Gothic Book"/>
      <w:snapToGrid/>
      <w:sz w:val="22"/>
    </w:rPr>
  </w:style>
  <w:style w:type="character" w:customStyle="1" w:styleId="BodyTextChar">
    <w:name w:val="Body Text Char"/>
    <w:basedOn w:val="DefaultParagraphFont"/>
    <w:link w:val="BodyText"/>
    <w:uiPriority w:val="99"/>
    <w:rsid w:val="0063391D"/>
    <w:rPr>
      <w:rFonts w:ascii="Franklin Gothic Book" w:eastAsia="Times New Roman" w:hAnsi="Franklin Gothic Book" w:cs="Times New Roman"/>
      <w:szCs w:val="20"/>
    </w:rPr>
  </w:style>
  <w:style w:type="paragraph" w:customStyle="1" w:styleId="IBCRequirement">
    <w:name w:val="IBC Requirement"/>
    <w:qFormat/>
    <w:rsid w:val="0063391D"/>
    <w:pPr>
      <w:keepNext/>
      <w:tabs>
        <w:tab w:val="left" w:pos="432"/>
      </w:tabs>
      <w:ind w:left="432"/>
    </w:pPr>
    <w:rPr>
      <w:rFonts w:ascii="Arial" w:eastAsia="Times New Roman" w:hAnsi="Arial" w:cs="Arial"/>
      <w:sz w:val="20"/>
    </w:rPr>
  </w:style>
  <w:style w:type="paragraph" w:customStyle="1" w:styleId="StyleIBC1">
    <w:name w:val="Style IBC +1"/>
    <w:basedOn w:val="Normal"/>
    <w:rsid w:val="0063391D"/>
    <w:pPr>
      <w:widowControl/>
      <w:spacing w:before="120" w:after="120"/>
    </w:pPr>
    <w:rPr>
      <w:rFonts w:ascii="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EE8F-3FEB-4FF0-BAB1-FA62C77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4</cp:revision>
  <dcterms:created xsi:type="dcterms:W3CDTF">2021-05-06T06:55:00Z</dcterms:created>
  <dcterms:modified xsi:type="dcterms:W3CDTF">2021-05-06T15:00:00Z</dcterms:modified>
</cp:coreProperties>
</file>