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BF6E" w14:textId="5FA76821" w:rsidR="003510BB" w:rsidRPr="002E3E09" w:rsidRDefault="002E3BEE" w:rsidP="00AD5EBB">
      <w:pPr>
        <w:pStyle w:val="Heading2"/>
        <w:rPr>
          <w:rFonts w:ascii="Arial" w:hAnsi="Arial" w:cs="Arial"/>
          <w:b w:val="0"/>
          <w:bCs w:val="0"/>
          <w:sz w:val="28"/>
          <w:szCs w:val="28"/>
        </w:rPr>
      </w:pPr>
      <w:bookmarkStart w:id="0" w:name="_Toc310597890"/>
      <w:r>
        <w:rPr>
          <w:rFonts w:ascii="Arial" w:hAnsi="Arial" w:cs="Arial"/>
          <w:sz w:val="28"/>
          <w:szCs w:val="28"/>
        </w:rPr>
        <w:t>Limit the Size of Enclosures below Elevated Buildings</w:t>
      </w:r>
      <w:r w:rsidR="004F5009">
        <w:rPr>
          <w:rFonts w:ascii="Arial" w:hAnsi="Arial" w:cs="Arial"/>
          <w:sz w:val="28"/>
          <w:szCs w:val="28"/>
        </w:rPr>
        <w:t xml:space="preserve"> </w:t>
      </w:r>
      <w:r w:rsidR="003510BB" w:rsidRPr="00680D7D">
        <w:rPr>
          <w:rFonts w:ascii="Arial" w:hAnsi="Arial" w:cs="Arial"/>
          <w:sz w:val="28"/>
          <w:szCs w:val="28"/>
        </w:rPr>
        <w:t xml:space="preserve">– </w:t>
      </w:r>
      <w:bookmarkEnd w:id="0"/>
      <w:r w:rsidR="002E6C20" w:rsidRPr="001F2848">
        <w:rPr>
          <w:rFonts w:ascii="Arial" w:hAnsi="Arial" w:cs="Arial"/>
          <w:b w:val="0"/>
          <w:sz w:val="28"/>
          <w:szCs w:val="28"/>
        </w:rPr>
        <w:t>local code amendments (</w:t>
      </w:r>
      <w:r w:rsidR="00380C40" w:rsidRPr="002A6BDD">
        <w:rPr>
          <w:rFonts w:ascii="Arial" w:hAnsi="Arial" w:cs="Arial"/>
          <w:b w:val="0"/>
          <w:sz w:val="28"/>
          <w:szCs w:val="28"/>
        </w:rPr>
        <w:t>Part</w:t>
      </w:r>
      <w:r w:rsidR="00380C40">
        <w:rPr>
          <w:rFonts w:ascii="Arial" w:hAnsi="Arial" w:cs="Arial"/>
          <w:sz w:val="28"/>
          <w:szCs w:val="28"/>
        </w:rPr>
        <w:t xml:space="preserve"> </w:t>
      </w:r>
      <w:r w:rsidR="00380C40">
        <w:rPr>
          <w:rFonts w:ascii="Arial" w:hAnsi="Arial" w:cs="Arial"/>
          <w:b w:val="0"/>
          <w:sz w:val="28"/>
          <w:szCs w:val="28"/>
        </w:rPr>
        <w:t>2 building and Part 2.5 residential</w:t>
      </w:r>
      <w:r w:rsidR="00380C40">
        <w:rPr>
          <w:rFonts w:ascii="Arial" w:hAnsi="Arial" w:cs="Arial"/>
          <w:sz w:val="28"/>
          <w:szCs w:val="28"/>
        </w:rPr>
        <w:t>)</w:t>
      </w:r>
    </w:p>
    <w:p w14:paraId="2F0467D8" w14:textId="7D3D60C9" w:rsidR="004F5009" w:rsidRDefault="004F5009" w:rsidP="004F5009">
      <w:pPr>
        <w:rPr>
          <w:rFonts w:asciiTheme="minorHAnsi" w:hAnsiTheme="minorHAnsi" w:cstheme="minorHAnsi"/>
          <w:b/>
          <w:sz w:val="26"/>
          <w:szCs w:val="26"/>
        </w:rPr>
      </w:pPr>
    </w:p>
    <w:p w14:paraId="2FC46E8E" w14:textId="77777777" w:rsidR="008D7B37" w:rsidRDefault="002E3E09" w:rsidP="002E3E09">
      <w:pPr>
        <w:rPr>
          <w:rFonts w:asciiTheme="minorHAnsi" w:hAnsiTheme="minorHAnsi" w:cstheme="minorHAnsi"/>
          <w:b/>
          <w:sz w:val="26"/>
          <w:szCs w:val="26"/>
          <w:u w:val="single"/>
        </w:rPr>
      </w:pPr>
      <w:r>
        <w:rPr>
          <w:noProof/>
        </w:rPr>
        <mc:AlternateContent>
          <mc:Choice Requires="wps">
            <w:drawing>
              <wp:inline distT="0" distB="0" distL="0" distR="0" wp14:anchorId="7ACE276B" wp14:editId="6743BC4F">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20F3CB27" w14:textId="5A038ED1" w:rsidR="002E3E09" w:rsidRDefault="006436AB" w:rsidP="002E3E09">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8D7B37">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sidR="004A104F">
                              <w:rPr>
                                <w:rStyle w:val="Hyperlink"/>
                                <w:rFonts w:asciiTheme="minorHAnsi" w:hAnsiTheme="minorHAnsi" w:cstheme="minorHAnsi"/>
                                <w:sz w:val="24"/>
                                <w:szCs w:val="24"/>
                                <w:u w:val="none"/>
                              </w:rPr>
                              <w:t xml:space="preserve"> or </w:t>
                            </w:r>
                            <w:hyperlink r:id="rId9" w:history="1">
                              <w:r w:rsidR="001A0A51" w:rsidRPr="00B44352">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4A104F">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B95F79">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7ACE276B"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20F3CB27" w14:textId="5A038ED1" w:rsidR="002E3E09" w:rsidRDefault="006436AB" w:rsidP="002E3E09">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8D7B37">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sidR="004A104F">
                        <w:rPr>
                          <w:rStyle w:val="Hyperlink"/>
                          <w:rFonts w:asciiTheme="minorHAnsi" w:hAnsiTheme="minorHAnsi" w:cstheme="minorHAnsi"/>
                          <w:sz w:val="24"/>
                          <w:szCs w:val="24"/>
                          <w:u w:val="none"/>
                        </w:rPr>
                        <w:t xml:space="preserve"> or </w:t>
                      </w:r>
                      <w:hyperlink r:id="rId11" w:history="1">
                        <w:r w:rsidR="001A0A51" w:rsidRPr="00B44352">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4A104F">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B95F79">
                        <w:rPr>
                          <w:rFonts w:asciiTheme="minorHAnsi" w:hAnsiTheme="minorHAnsi" w:cstheme="minorHAnsi"/>
                          <w:sz w:val="24"/>
                          <w:szCs w:val="24"/>
                        </w:rPr>
                        <w:t xml:space="preserve"> </w:t>
                      </w:r>
                    </w:p>
                  </w:txbxContent>
                </v:textbox>
                <w10:anchorlock/>
              </v:shape>
            </w:pict>
          </mc:Fallback>
        </mc:AlternateContent>
      </w:r>
    </w:p>
    <w:p w14:paraId="209739BC" w14:textId="77777777" w:rsidR="008D7B37" w:rsidRDefault="008D7B37" w:rsidP="002E3E09">
      <w:pPr>
        <w:rPr>
          <w:rFonts w:asciiTheme="minorHAnsi" w:hAnsiTheme="minorHAnsi" w:cstheme="minorHAnsi"/>
          <w:b/>
          <w:sz w:val="26"/>
          <w:szCs w:val="26"/>
          <w:u w:val="single"/>
        </w:rPr>
      </w:pPr>
    </w:p>
    <w:p w14:paraId="21C0C18E" w14:textId="1DD21C5F" w:rsidR="002E3E09" w:rsidRDefault="002E3E09" w:rsidP="002E3E09">
      <w:pPr>
        <w:rPr>
          <w:rFonts w:asciiTheme="minorHAnsi" w:hAnsiTheme="minorHAnsi" w:cstheme="minorHAnsi"/>
          <w:sz w:val="26"/>
          <w:szCs w:val="26"/>
        </w:rPr>
      </w:pPr>
      <w:r>
        <w:rPr>
          <w:rFonts w:asciiTheme="minorHAnsi" w:hAnsiTheme="minorHAnsi" w:cstheme="minorHAnsi"/>
          <w:b/>
          <w:sz w:val="26"/>
          <w:szCs w:val="26"/>
          <w:u w:val="single"/>
        </w:rPr>
        <w:t>Before you start</w:t>
      </w:r>
      <w:r>
        <w:rPr>
          <w:rFonts w:asciiTheme="minorHAnsi" w:hAnsiTheme="minorHAnsi" w:cstheme="minorHAnsi"/>
          <w:b/>
          <w:sz w:val="26"/>
          <w:szCs w:val="26"/>
        </w:rPr>
        <w:t xml:space="preserve">:  </w:t>
      </w:r>
      <w:r>
        <w:rPr>
          <w:rFonts w:asciiTheme="minorHAnsi" w:hAnsiTheme="minorHAnsi" w:cstheme="minorHAnsi"/>
          <w:sz w:val="26"/>
          <w:szCs w:val="26"/>
        </w:rPr>
        <w:t>Review the General Instructions for Amending the California Building Standards Code (C</w:t>
      </w:r>
      <w:r w:rsidR="00380C40">
        <w:rPr>
          <w:rFonts w:asciiTheme="minorHAnsi" w:hAnsiTheme="minorHAnsi" w:cstheme="minorHAnsi"/>
          <w:sz w:val="26"/>
          <w:szCs w:val="26"/>
        </w:rPr>
        <w:t>C</w:t>
      </w:r>
      <w:r>
        <w:rPr>
          <w:rFonts w:asciiTheme="minorHAnsi" w:hAnsiTheme="minorHAnsi" w:cstheme="minorHAnsi"/>
          <w:sz w:val="26"/>
          <w:szCs w:val="26"/>
        </w:rPr>
        <w:t>R Title 24) to Adopt Higher Standards for Buildings and Development Located in Flood Hazard Areas.</w:t>
      </w:r>
    </w:p>
    <w:p w14:paraId="68291514" w14:textId="77777777" w:rsidR="008D7B37" w:rsidRDefault="008D7B37" w:rsidP="002E3E09">
      <w:pPr>
        <w:rPr>
          <w:rFonts w:asciiTheme="minorHAnsi" w:hAnsiTheme="minorHAnsi" w:cstheme="minorHAnsi"/>
          <w:snapToGrid/>
          <w:sz w:val="26"/>
          <w:szCs w:val="26"/>
        </w:rPr>
      </w:pPr>
    </w:p>
    <w:p w14:paraId="6EFF7C2C" w14:textId="134F3E06" w:rsidR="002E3E09" w:rsidRDefault="007A22BC" w:rsidP="008D7B37">
      <w:pPr>
        <w:jc w:val="center"/>
        <w:rPr>
          <w:rFonts w:asciiTheme="minorHAnsi" w:hAnsiTheme="minorHAnsi" w:cstheme="minorHAnsi"/>
          <w:b/>
          <w:sz w:val="26"/>
          <w:szCs w:val="26"/>
        </w:rPr>
      </w:pPr>
      <w:r w:rsidRPr="00CF68D3">
        <w:rPr>
          <w:rFonts w:ascii="Arial" w:hAnsi="Arial" w:cs="Arial"/>
          <w:noProof/>
          <w:sz w:val="22"/>
          <w:szCs w:val="22"/>
        </w:rPr>
        <mc:AlternateContent>
          <mc:Choice Requires="wps">
            <w:drawing>
              <wp:inline distT="0" distB="0" distL="0" distR="0" wp14:anchorId="77C8486B" wp14:editId="11DDD00B">
                <wp:extent cx="4572000" cy="1404620"/>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7B81BD28" w14:textId="77777777" w:rsidR="007A22BC" w:rsidRDefault="007A22BC" w:rsidP="007A22BC">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77C8486B"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EJwIAAEwEAAAOAAAAZHJzL2Uyb0RvYy54bWysVNtu2zAMfR+wfxD0vjgJkq414hRdugwD&#10;ugvQ7gNoWY6FSaImKbG7rx8lp2nWYS/D/CBIInV4eEh6dT0YzQ7SB4W24rPJlDNpBTbK7ir+7WH7&#10;5pKzEME2oNHKij/KwK/Xr1+telfKOXaoG+kZgdhQ9q7iXYyuLIogOmkgTNBJS8YWvYFIR78rGg89&#10;oRtdzKfTi6JH3ziPQoZAt7ejka8zfttKEb+0bZCR6YoTt5hXn9c6rcV6BeXOg+uUONKAf2BhQFkK&#10;eoK6hQhs79UfUEYJjwHbOBFoCmxbJWTOgbKZTV9kc9+BkzkXEie4k0zh/8GKz4evnqmm4nPOLBgq&#10;0YMcInuHA5sndXoXSnK6d+QWB7qmKudMg7tD8T0wi5sO7E7eeI99J6EhdrP0sjh7OuKEBFL3n7Ch&#10;MLCPmIGG1pskHYnBCJ2q9HiqTKIi6HKxfEvVJpMg22wxXVzMc+0KKJ+eOx/iB4mGpU3FPZU+w8Ph&#10;LsREB8onlxQtoFbNVmmdD35Xb7RnB6A22eYvZ/DCTVvWV/xqOV+OCvwVgqgmtmPU3yIZFanftTIV&#10;vzw5QZl0e28begBlBKXHPVHW9ihk0m5UMQ71kCuWVU4i19g8krIex/amcaRNh/4nZz21dsXDjz14&#10;yZn+aKk6V7PFIs1CPmRlOfPnlvrcAlYQVMUjZ+N2E/P8ZN3cDVVxq7K+z0yOlKlls+zH8UozcX7O&#10;Xs8/gfUvAA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L/vCYQnAgAATAQAAA4AAAAAAAAAAAAAAAAALgIAAGRycy9lMm9Eb2Mu&#10;eG1sUEsBAi0AFAAGAAgAAAAhAOrpxL7bAAAABQEAAA8AAAAAAAAAAAAAAAAAgQQAAGRycy9kb3du&#10;cmV2LnhtbFBLBQYAAAAABAAEAPMAAACJBQAAAAA=&#10;">
                <v:textbox style="mso-fit-shape-to-text:t">
                  <w:txbxContent>
                    <w:p w14:paraId="7B81BD28" w14:textId="77777777" w:rsidR="007A22BC" w:rsidRDefault="007A22BC" w:rsidP="007A22BC">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620B3250" w14:textId="77777777" w:rsidR="008D7B37" w:rsidRDefault="008D7B37" w:rsidP="004F5009">
      <w:pPr>
        <w:rPr>
          <w:rFonts w:asciiTheme="minorHAnsi" w:hAnsiTheme="minorHAnsi" w:cstheme="minorHAnsi"/>
          <w:b/>
          <w:sz w:val="26"/>
          <w:szCs w:val="26"/>
        </w:rPr>
      </w:pPr>
    </w:p>
    <w:p w14:paraId="277BD6C7" w14:textId="096C7569" w:rsidR="00C76D56" w:rsidRDefault="003510BB" w:rsidP="00C76D56">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2E3E09">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C76D56" w:rsidRPr="00C76D56">
        <w:rPr>
          <w:rFonts w:asciiTheme="minorHAnsi" w:hAnsiTheme="minorHAnsi" w:cstheme="minorHAnsi"/>
          <w:sz w:val="26"/>
          <w:szCs w:val="26"/>
        </w:rPr>
        <w:t xml:space="preserve">Limiting the size of enclosures below </w:t>
      </w:r>
      <w:r w:rsidR="00C76D56" w:rsidRPr="003D5F40">
        <w:rPr>
          <w:rFonts w:asciiTheme="minorHAnsi" w:hAnsiTheme="minorHAnsi" w:cstheme="minorHAnsi"/>
          <w:sz w:val="26"/>
          <w:szCs w:val="26"/>
        </w:rPr>
        <w:t xml:space="preserve">elevated buildings helps minimize flood damage. Enclosures below otherwise properly elevated buildings are allowed under the NFIP and </w:t>
      </w:r>
      <w:r w:rsidR="00380C40">
        <w:rPr>
          <w:rFonts w:asciiTheme="minorHAnsi" w:hAnsiTheme="minorHAnsi" w:cstheme="minorHAnsi"/>
          <w:sz w:val="26"/>
          <w:szCs w:val="26"/>
        </w:rPr>
        <w:t>CCR Title 24</w:t>
      </w:r>
      <w:r w:rsidR="00C76D56" w:rsidRPr="003D5F40">
        <w:rPr>
          <w:rFonts w:asciiTheme="minorHAnsi" w:hAnsiTheme="minorHAnsi" w:cstheme="minorHAnsi"/>
          <w:sz w:val="26"/>
          <w:szCs w:val="26"/>
        </w:rPr>
        <w:t>, provided the enclosures meet certain requirements and are used only for parking of vehicles, storage, and</w:t>
      </w:r>
      <w:r w:rsidR="00C76D56" w:rsidRPr="00C76D56">
        <w:rPr>
          <w:rFonts w:asciiTheme="minorHAnsi" w:hAnsiTheme="minorHAnsi" w:cstheme="minorHAnsi"/>
          <w:sz w:val="26"/>
          <w:szCs w:val="26"/>
        </w:rPr>
        <w:t xml:space="preserve"> building access. Neither the NFIP nor the </w:t>
      </w:r>
      <w:r w:rsidR="003D5F40">
        <w:rPr>
          <w:rFonts w:asciiTheme="minorHAnsi" w:hAnsiTheme="minorHAnsi" w:cstheme="minorHAnsi"/>
          <w:sz w:val="26"/>
          <w:szCs w:val="26"/>
        </w:rPr>
        <w:t>California codes</w:t>
      </w:r>
      <w:r w:rsidR="00C76D56" w:rsidRPr="00C76D56">
        <w:rPr>
          <w:rFonts w:asciiTheme="minorHAnsi" w:hAnsiTheme="minorHAnsi" w:cstheme="minorHAnsi"/>
          <w:sz w:val="26"/>
          <w:szCs w:val="26"/>
        </w:rPr>
        <w:t xml:space="preserve"> limit the size of enclosures.</w:t>
      </w:r>
    </w:p>
    <w:p w14:paraId="3A2B0BEF" w14:textId="1721D2AC" w:rsidR="00C76D56" w:rsidRDefault="00C76D56" w:rsidP="00C76D56">
      <w:pPr>
        <w:rPr>
          <w:rFonts w:asciiTheme="minorHAnsi" w:hAnsiTheme="minorHAnsi" w:cstheme="minorHAnsi"/>
          <w:sz w:val="26"/>
          <w:szCs w:val="26"/>
        </w:rPr>
      </w:pPr>
    </w:p>
    <w:p w14:paraId="059F6C86" w14:textId="7BCF782E" w:rsidR="00C76D56" w:rsidRPr="006016CF" w:rsidRDefault="00C76D56" w:rsidP="00C76D56">
      <w:pPr>
        <w:rPr>
          <w:rFonts w:asciiTheme="minorHAnsi" w:hAnsiTheme="minorHAnsi" w:cstheme="minorHAnsi"/>
          <w:sz w:val="26"/>
          <w:szCs w:val="26"/>
        </w:rPr>
      </w:pPr>
      <w:r w:rsidRPr="006016CF">
        <w:rPr>
          <w:rFonts w:asciiTheme="minorHAnsi" w:hAnsiTheme="minorHAnsi" w:cstheme="minorHAnsi"/>
          <w:sz w:val="26"/>
          <w:szCs w:val="26"/>
        </w:rPr>
        <w:t xml:space="preserve">Walls of enclosed areas must meet specific requirements depending on the flood zone:  </w:t>
      </w:r>
    </w:p>
    <w:p w14:paraId="50131397" w14:textId="767A2669" w:rsidR="00C76D56" w:rsidRPr="006016CF" w:rsidRDefault="00C76D56" w:rsidP="00C76D56">
      <w:pPr>
        <w:pStyle w:val="ListParagraph"/>
        <w:widowControl/>
        <w:numPr>
          <w:ilvl w:val="0"/>
          <w:numId w:val="21"/>
        </w:numPr>
        <w:spacing w:after="120"/>
        <w:rPr>
          <w:rFonts w:asciiTheme="minorHAnsi" w:hAnsiTheme="minorHAnsi" w:cstheme="minorHAnsi"/>
          <w:sz w:val="26"/>
          <w:szCs w:val="26"/>
        </w:rPr>
      </w:pPr>
      <w:r w:rsidRPr="006016CF">
        <w:rPr>
          <w:rFonts w:asciiTheme="minorHAnsi" w:hAnsiTheme="minorHAnsi" w:cstheme="minorHAnsi"/>
          <w:sz w:val="26"/>
          <w:szCs w:val="26"/>
        </w:rPr>
        <w:t xml:space="preserve">In </w:t>
      </w:r>
      <w:r w:rsidR="003C3891">
        <w:rPr>
          <w:rFonts w:asciiTheme="minorHAnsi" w:hAnsiTheme="minorHAnsi" w:cstheme="minorHAnsi"/>
          <w:sz w:val="26"/>
          <w:szCs w:val="26"/>
        </w:rPr>
        <w:t>flood zones that start with the letter “A”</w:t>
      </w:r>
      <w:r w:rsidRPr="006016CF">
        <w:rPr>
          <w:rFonts w:asciiTheme="minorHAnsi" w:hAnsiTheme="minorHAnsi" w:cstheme="minorHAnsi"/>
          <w:sz w:val="26"/>
          <w:szCs w:val="26"/>
        </w:rPr>
        <w:t>, walls are required to have flood openings</w:t>
      </w:r>
      <w:r w:rsidR="00371A86">
        <w:rPr>
          <w:rFonts w:asciiTheme="minorHAnsi" w:hAnsiTheme="minorHAnsi" w:cstheme="minorHAnsi"/>
          <w:sz w:val="26"/>
          <w:szCs w:val="26"/>
        </w:rPr>
        <w:t>.</w:t>
      </w:r>
      <w:r w:rsidRPr="006016CF">
        <w:rPr>
          <w:rFonts w:asciiTheme="minorHAnsi" w:hAnsiTheme="minorHAnsi" w:cstheme="minorHAnsi"/>
          <w:sz w:val="26"/>
          <w:szCs w:val="26"/>
        </w:rPr>
        <w:t xml:space="preserve"> </w:t>
      </w:r>
    </w:p>
    <w:p w14:paraId="06E36991" w14:textId="6CAE9872" w:rsidR="00C76D56" w:rsidRPr="00F901B7" w:rsidRDefault="00C76D56" w:rsidP="00C76D56">
      <w:pPr>
        <w:pStyle w:val="ListParagraph"/>
        <w:widowControl/>
        <w:numPr>
          <w:ilvl w:val="0"/>
          <w:numId w:val="21"/>
        </w:numPr>
        <w:spacing w:after="120"/>
        <w:rPr>
          <w:rFonts w:asciiTheme="minorHAnsi" w:hAnsiTheme="minorHAnsi" w:cstheme="minorHAnsi"/>
          <w:sz w:val="26"/>
          <w:szCs w:val="26"/>
        </w:rPr>
      </w:pPr>
      <w:r w:rsidRPr="00F901B7">
        <w:rPr>
          <w:rFonts w:asciiTheme="minorHAnsi" w:hAnsiTheme="minorHAnsi" w:cstheme="minorHAnsi"/>
          <w:sz w:val="26"/>
          <w:szCs w:val="26"/>
        </w:rPr>
        <w:t xml:space="preserve">In </w:t>
      </w:r>
      <w:r w:rsidR="003C3891">
        <w:rPr>
          <w:rFonts w:asciiTheme="minorHAnsi" w:hAnsiTheme="minorHAnsi" w:cstheme="minorHAnsi"/>
          <w:sz w:val="26"/>
          <w:szCs w:val="26"/>
        </w:rPr>
        <w:t>Zone V/VE</w:t>
      </w:r>
      <w:r>
        <w:rPr>
          <w:rFonts w:asciiTheme="minorHAnsi" w:hAnsiTheme="minorHAnsi" w:cstheme="minorHAnsi"/>
          <w:sz w:val="26"/>
          <w:szCs w:val="26"/>
        </w:rPr>
        <w:t xml:space="preserve"> and Coastal A Zones (CAZ)</w:t>
      </w:r>
      <w:r w:rsidRPr="00F901B7">
        <w:rPr>
          <w:rFonts w:asciiTheme="minorHAnsi" w:hAnsiTheme="minorHAnsi" w:cstheme="minorHAnsi"/>
          <w:sz w:val="26"/>
          <w:szCs w:val="26"/>
        </w:rPr>
        <w:t>, walls are required to break away under certain flood loads</w:t>
      </w:r>
      <w:r>
        <w:rPr>
          <w:rFonts w:asciiTheme="minorHAnsi" w:hAnsiTheme="minorHAnsi" w:cstheme="minorHAnsi"/>
          <w:sz w:val="26"/>
          <w:szCs w:val="26"/>
        </w:rPr>
        <w:t xml:space="preserve"> and must also have flood openings</w:t>
      </w:r>
      <w:r w:rsidRPr="00F901B7">
        <w:rPr>
          <w:rFonts w:asciiTheme="minorHAnsi" w:hAnsiTheme="minorHAnsi" w:cstheme="minorHAnsi"/>
          <w:sz w:val="26"/>
          <w:szCs w:val="26"/>
        </w:rPr>
        <w:t xml:space="preserve">.  </w:t>
      </w:r>
    </w:p>
    <w:p w14:paraId="64ED822A" w14:textId="5AA3B81D" w:rsidR="00C76D56" w:rsidRPr="00C76D56" w:rsidRDefault="00C76D56" w:rsidP="00C76D56">
      <w:pPr>
        <w:rPr>
          <w:rFonts w:asciiTheme="minorHAnsi" w:hAnsiTheme="minorHAnsi" w:cstheme="minorHAnsi"/>
          <w:sz w:val="26"/>
          <w:szCs w:val="26"/>
        </w:rPr>
      </w:pPr>
    </w:p>
    <w:p w14:paraId="422A3106" w14:textId="67A783BA" w:rsidR="008D7B37" w:rsidRPr="008D7B37" w:rsidRDefault="00C76D56" w:rsidP="003510BB">
      <w:pPr>
        <w:rPr>
          <w:rFonts w:asciiTheme="minorHAnsi" w:hAnsiTheme="minorHAnsi" w:cstheme="minorHAnsi"/>
          <w:sz w:val="26"/>
          <w:szCs w:val="26"/>
        </w:rPr>
      </w:pPr>
      <w:r w:rsidRPr="00C76D56">
        <w:rPr>
          <w:rFonts w:asciiTheme="minorHAnsi" w:hAnsiTheme="minorHAnsi" w:cstheme="minorHAnsi"/>
          <w:sz w:val="26"/>
          <w:szCs w:val="26"/>
        </w:rPr>
        <w:t xml:space="preserve">Enclosures do not need to be large to </w:t>
      </w:r>
      <w:r w:rsidR="003D5F40">
        <w:rPr>
          <w:rFonts w:asciiTheme="minorHAnsi" w:hAnsiTheme="minorHAnsi" w:cstheme="minorHAnsi"/>
          <w:sz w:val="26"/>
          <w:szCs w:val="26"/>
        </w:rPr>
        <w:t xml:space="preserve">serve the </w:t>
      </w:r>
      <w:r w:rsidRPr="00C76D56">
        <w:rPr>
          <w:rFonts w:asciiTheme="minorHAnsi" w:hAnsiTheme="minorHAnsi" w:cstheme="minorHAnsi"/>
          <w:sz w:val="26"/>
          <w:szCs w:val="26"/>
        </w:rPr>
        <w:t>allowed uses. The benefits of limiting the size of enclosures include smaller obstructions to the free flow of floodwater</w:t>
      </w:r>
      <w:r w:rsidR="00371A86">
        <w:rPr>
          <w:rFonts w:asciiTheme="minorHAnsi" w:hAnsiTheme="minorHAnsi" w:cstheme="minorHAnsi"/>
          <w:sz w:val="26"/>
          <w:szCs w:val="26"/>
        </w:rPr>
        <w:t>,</w:t>
      </w:r>
      <w:r w:rsidRPr="00C76D56">
        <w:rPr>
          <w:rFonts w:asciiTheme="minorHAnsi" w:hAnsiTheme="minorHAnsi" w:cstheme="minorHAnsi"/>
          <w:sz w:val="26"/>
          <w:szCs w:val="26"/>
        </w:rPr>
        <w:t xml:space="preserve"> owners are less likely to modify smaller enclosures</w:t>
      </w:r>
      <w:r w:rsidR="00371A86">
        <w:rPr>
          <w:rFonts w:asciiTheme="minorHAnsi" w:hAnsiTheme="minorHAnsi" w:cstheme="minorHAnsi"/>
          <w:sz w:val="26"/>
          <w:szCs w:val="26"/>
        </w:rPr>
        <w:t xml:space="preserve">, and less debris </w:t>
      </w:r>
      <w:r w:rsidR="00233FD0">
        <w:rPr>
          <w:rFonts w:asciiTheme="minorHAnsi" w:hAnsiTheme="minorHAnsi" w:cstheme="minorHAnsi"/>
          <w:sz w:val="26"/>
          <w:szCs w:val="26"/>
        </w:rPr>
        <w:t xml:space="preserve">in floodwater </w:t>
      </w:r>
      <w:r w:rsidR="00371A86">
        <w:rPr>
          <w:rFonts w:asciiTheme="minorHAnsi" w:hAnsiTheme="minorHAnsi" w:cstheme="minorHAnsi"/>
          <w:sz w:val="26"/>
          <w:szCs w:val="26"/>
        </w:rPr>
        <w:t>when breakaway walls fail as designed</w:t>
      </w:r>
      <w:r w:rsidRPr="00C76D56">
        <w:rPr>
          <w:rFonts w:asciiTheme="minorHAnsi" w:hAnsiTheme="minorHAnsi" w:cstheme="minorHAnsi"/>
          <w:sz w:val="26"/>
          <w:szCs w:val="26"/>
        </w:rPr>
        <w:t xml:space="preserve">. In </w:t>
      </w:r>
      <w:r w:rsidR="003C3891">
        <w:rPr>
          <w:rFonts w:asciiTheme="minorHAnsi" w:hAnsiTheme="minorHAnsi" w:cstheme="minorHAnsi"/>
          <w:sz w:val="26"/>
          <w:szCs w:val="26"/>
        </w:rPr>
        <w:t>Zone V/VE</w:t>
      </w:r>
      <w:r w:rsidRPr="00C76D56">
        <w:rPr>
          <w:rFonts w:asciiTheme="minorHAnsi" w:hAnsiTheme="minorHAnsi" w:cstheme="minorHAnsi"/>
          <w:sz w:val="26"/>
          <w:szCs w:val="26"/>
        </w:rPr>
        <w:t xml:space="preserve">, NFIP flood insurance policies are more expensive when buildings have enclosures larger than </w:t>
      </w:r>
      <w:r w:rsidR="00E27EFC">
        <w:rPr>
          <w:rFonts w:asciiTheme="minorHAnsi" w:hAnsiTheme="minorHAnsi" w:cstheme="minorHAnsi"/>
          <w:sz w:val="26"/>
          <w:szCs w:val="26"/>
        </w:rPr>
        <w:t>300</w:t>
      </w:r>
      <w:r w:rsidRPr="00C76D56">
        <w:rPr>
          <w:rFonts w:asciiTheme="minorHAnsi" w:hAnsiTheme="minorHAnsi" w:cstheme="minorHAnsi"/>
          <w:sz w:val="26"/>
          <w:szCs w:val="26"/>
        </w:rPr>
        <w:t xml:space="preserve"> square feet. Many communities that limit the size of enclosures select a smaller </w:t>
      </w:r>
      <w:r w:rsidR="003D5F40">
        <w:rPr>
          <w:rFonts w:asciiTheme="minorHAnsi" w:hAnsiTheme="minorHAnsi" w:cstheme="minorHAnsi"/>
          <w:sz w:val="26"/>
          <w:szCs w:val="26"/>
        </w:rPr>
        <w:t xml:space="preserve">size, such as 295 square feet. Also, most </w:t>
      </w:r>
      <w:r w:rsidRPr="00C76D56">
        <w:rPr>
          <w:rFonts w:asciiTheme="minorHAnsi" w:hAnsiTheme="minorHAnsi" w:cstheme="minorHAnsi"/>
          <w:sz w:val="26"/>
          <w:szCs w:val="26"/>
        </w:rPr>
        <w:t xml:space="preserve">communities do not apply the size limit to crawlspaces where the </w:t>
      </w:r>
      <w:r w:rsidRPr="00C76D56">
        <w:rPr>
          <w:rFonts w:asciiTheme="minorHAnsi" w:hAnsiTheme="minorHAnsi" w:cstheme="minorHAnsi"/>
          <w:sz w:val="26"/>
          <w:szCs w:val="26"/>
        </w:rPr>
        <w:lastRenderedPageBreak/>
        <w:t xml:space="preserve">foundation wall height is less than a specified number of feet (typically less than </w:t>
      </w:r>
      <w:r w:rsidR="007C4C5A">
        <w:rPr>
          <w:rFonts w:asciiTheme="minorHAnsi" w:hAnsiTheme="minorHAnsi" w:cstheme="minorHAnsi"/>
          <w:sz w:val="26"/>
          <w:szCs w:val="26"/>
        </w:rPr>
        <w:t>4</w:t>
      </w:r>
      <w:r w:rsidRPr="00C76D56">
        <w:rPr>
          <w:rFonts w:asciiTheme="minorHAnsi" w:hAnsiTheme="minorHAnsi" w:cstheme="minorHAnsi"/>
          <w:sz w:val="26"/>
          <w:szCs w:val="26"/>
        </w:rPr>
        <w:t xml:space="preserve"> or </w:t>
      </w:r>
      <w:r w:rsidR="007C4C5A">
        <w:rPr>
          <w:rFonts w:asciiTheme="minorHAnsi" w:hAnsiTheme="minorHAnsi" w:cstheme="minorHAnsi"/>
          <w:sz w:val="26"/>
          <w:szCs w:val="26"/>
        </w:rPr>
        <w:t>5</w:t>
      </w:r>
      <w:r w:rsidRPr="00C76D56">
        <w:rPr>
          <w:rFonts w:asciiTheme="minorHAnsi" w:hAnsiTheme="minorHAnsi" w:cstheme="minorHAnsi"/>
          <w:sz w:val="26"/>
          <w:szCs w:val="26"/>
        </w:rPr>
        <w:t xml:space="preserve"> feet).</w:t>
      </w:r>
    </w:p>
    <w:p w14:paraId="78E9E25D" w14:textId="77777777" w:rsidR="002E3E09" w:rsidRDefault="002E3E09" w:rsidP="000225FA">
      <w:pPr>
        <w:rPr>
          <w:rFonts w:asciiTheme="minorHAnsi" w:hAnsiTheme="minorHAnsi" w:cstheme="minorHAnsi"/>
          <w:b/>
          <w:sz w:val="26"/>
          <w:szCs w:val="26"/>
          <w:u w:val="single"/>
        </w:rPr>
      </w:pPr>
    </w:p>
    <w:p w14:paraId="1C64D7D2" w14:textId="593D16D2" w:rsidR="00076A36" w:rsidRPr="009F2B59" w:rsidRDefault="009C5AE3" w:rsidP="000225FA">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380C40">
        <w:rPr>
          <w:rFonts w:asciiTheme="minorHAnsi" w:hAnsiTheme="minorHAnsi" w:cstheme="minorHAnsi"/>
          <w:b/>
          <w:sz w:val="26"/>
          <w:szCs w:val="26"/>
          <w:u w:val="single"/>
        </w:rPr>
        <w:t xml:space="preserve">Part 2 (buildings) </w:t>
      </w:r>
      <w:r w:rsidR="00F703D8">
        <w:rPr>
          <w:rFonts w:asciiTheme="minorHAnsi" w:hAnsiTheme="minorHAnsi" w:cstheme="minorHAnsi"/>
          <w:b/>
          <w:sz w:val="26"/>
          <w:szCs w:val="26"/>
          <w:u w:val="single"/>
        </w:rPr>
        <w:t>addresses</w:t>
      </w:r>
      <w:r w:rsidR="00BA29ED">
        <w:rPr>
          <w:rFonts w:asciiTheme="minorHAnsi" w:hAnsiTheme="minorHAnsi" w:cstheme="minorHAnsi"/>
          <w:b/>
          <w:sz w:val="26"/>
          <w:szCs w:val="26"/>
          <w:u w:val="single"/>
        </w:rPr>
        <w:t xml:space="preserve"> the</w:t>
      </w:r>
      <w:r w:rsidRPr="009F2B59">
        <w:rPr>
          <w:rFonts w:asciiTheme="minorHAnsi" w:hAnsiTheme="minorHAnsi" w:cstheme="minorHAnsi"/>
          <w:b/>
          <w:sz w:val="26"/>
          <w:szCs w:val="26"/>
          <w:u w:val="single"/>
        </w:rPr>
        <w:t xml:space="preserve"> </w:t>
      </w:r>
      <w:r w:rsidR="00F703D8">
        <w:rPr>
          <w:rFonts w:asciiTheme="minorHAnsi" w:hAnsiTheme="minorHAnsi" w:cstheme="minorHAnsi"/>
          <w:b/>
          <w:sz w:val="26"/>
          <w:szCs w:val="26"/>
          <w:u w:val="single"/>
        </w:rPr>
        <w:t>size of enclosures beneath elevated buildings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380C40">
        <w:rPr>
          <w:rFonts w:asciiTheme="minorHAnsi" w:hAnsiTheme="minorHAnsi" w:cstheme="minorHAnsi"/>
          <w:sz w:val="26"/>
          <w:szCs w:val="26"/>
        </w:rPr>
        <w:t>Part 2 (buildings)</w:t>
      </w:r>
      <w:r w:rsidR="00C76D56">
        <w:rPr>
          <w:rFonts w:asciiTheme="minorHAnsi" w:hAnsiTheme="minorHAnsi" w:cstheme="minorHAnsi"/>
          <w:sz w:val="26"/>
          <w:szCs w:val="26"/>
        </w:rPr>
        <w:t>,</w:t>
      </w:r>
      <w:r w:rsidR="00C76D56" w:rsidRPr="00C76D56">
        <w:rPr>
          <w:rFonts w:asciiTheme="minorHAnsi" w:hAnsiTheme="minorHAnsi" w:cstheme="minorHAnsi"/>
          <w:sz w:val="26"/>
          <w:szCs w:val="26"/>
        </w:rPr>
        <w:t xml:space="preserve"> by reference to ASCE 24, includes the basic NFIP-consistent requirements for enclosed areas and walls below elevated buildings</w:t>
      </w:r>
      <w:r w:rsidR="00371A86">
        <w:rPr>
          <w:rFonts w:asciiTheme="minorHAnsi" w:hAnsiTheme="minorHAnsi" w:cstheme="minorHAnsi"/>
          <w:sz w:val="26"/>
          <w:szCs w:val="26"/>
        </w:rPr>
        <w:t>, with no limitation on the size of enclosures</w:t>
      </w:r>
      <w:r w:rsidR="00C76D56" w:rsidRPr="00C76D56">
        <w:rPr>
          <w:rFonts w:asciiTheme="minorHAnsi" w:hAnsiTheme="minorHAnsi" w:cstheme="minorHAnsi"/>
          <w:sz w:val="26"/>
          <w:szCs w:val="26"/>
        </w:rPr>
        <w:t xml:space="preserve">.  Requirements for enclosures under buildings in </w:t>
      </w:r>
      <w:r w:rsidR="003C3891">
        <w:rPr>
          <w:rFonts w:asciiTheme="minorHAnsi" w:hAnsiTheme="minorHAnsi" w:cstheme="minorHAnsi"/>
          <w:sz w:val="26"/>
          <w:szCs w:val="26"/>
        </w:rPr>
        <w:t>flood zones that start with “A”</w:t>
      </w:r>
      <w:r w:rsidR="00C76D56" w:rsidRPr="00C76D56">
        <w:rPr>
          <w:rFonts w:asciiTheme="minorHAnsi" w:hAnsiTheme="minorHAnsi" w:cstheme="minorHAnsi"/>
          <w:sz w:val="26"/>
          <w:szCs w:val="26"/>
        </w:rPr>
        <w:t xml:space="preserve"> are in ASCE 24 Section 2.6 and requirements for </w:t>
      </w:r>
      <w:r w:rsidR="003C3891">
        <w:rPr>
          <w:rFonts w:asciiTheme="minorHAnsi" w:hAnsiTheme="minorHAnsi" w:cstheme="minorHAnsi"/>
          <w:sz w:val="26"/>
          <w:szCs w:val="26"/>
        </w:rPr>
        <w:t>Zone V/VE</w:t>
      </w:r>
      <w:r w:rsidR="00C76D56" w:rsidRPr="00C76D56">
        <w:rPr>
          <w:rFonts w:asciiTheme="minorHAnsi" w:hAnsiTheme="minorHAnsi" w:cstheme="minorHAnsi"/>
          <w:sz w:val="26"/>
          <w:szCs w:val="26"/>
        </w:rPr>
        <w:t xml:space="preserve"> and CAZ are in ASCE 24 Section 4.6.</w:t>
      </w:r>
      <w:r w:rsidR="00076A36" w:rsidRPr="009F2B59">
        <w:rPr>
          <w:rFonts w:asciiTheme="minorHAnsi" w:hAnsiTheme="minorHAnsi" w:cstheme="minorHAnsi"/>
          <w:sz w:val="26"/>
          <w:szCs w:val="26"/>
        </w:rPr>
        <w:t xml:space="preserve"> </w:t>
      </w:r>
      <w:r w:rsidR="00454FE7">
        <w:rPr>
          <w:rFonts w:asciiTheme="minorHAnsi" w:hAnsiTheme="minorHAnsi" w:cstheme="minorHAnsi"/>
          <w:sz w:val="26"/>
          <w:szCs w:val="26"/>
        </w:rPr>
        <w:t xml:space="preserve">When a </w:t>
      </w:r>
      <w:r w:rsidR="00454FE7" w:rsidRPr="00C76D56">
        <w:rPr>
          <w:rFonts w:asciiTheme="minorHAnsi" w:hAnsiTheme="minorHAnsi" w:cstheme="minorHAnsi"/>
          <w:sz w:val="26"/>
          <w:szCs w:val="26"/>
        </w:rPr>
        <w:t>FIRM shows a Limit of Moderate Wave Action (</w:t>
      </w:r>
      <w:proofErr w:type="spellStart"/>
      <w:r w:rsidR="00454FE7" w:rsidRPr="00C76D56">
        <w:rPr>
          <w:rFonts w:asciiTheme="minorHAnsi" w:hAnsiTheme="minorHAnsi" w:cstheme="minorHAnsi"/>
          <w:sz w:val="26"/>
          <w:szCs w:val="26"/>
        </w:rPr>
        <w:t>LiMWA</w:t>
      </w:r>
      <w:proofErr w:type="spellEnd"/>
      <w:r w:rsidR="00454FE7" w:rsidRPr="00C76D56">
        <w:rPr>
          <w:rFonts w:asciiTheme="minorHAnsi" w:hAnsiTheme="minorHAnsi" w:cstheme="minorHAnsi"/>
          <w:sz w:val="26"/>
          <w:szCs w:val="26"/>
        </w:rPr>
        <w:t xml:space="preserve">) or a community </w:t>
      </w:r>
      <w:r w:rsidR="00454FE7">
        <w:rPr>
          <w:rFonts w:asciiTheme="minorHAnsi" w:hAnsiTheme="minorHAnsi" w:cstheme="minorHAnsi"/>
          <w:sz w:val="26"/>
          <w:szCs w:val="26"/>
        </w:rPr>
        <w:t xml:space="preserve">otherwise </w:t>
      </w:r>
      <w:r w:rsidR="00454FE7" w:rsidRPr="00C76D56">
        <w:rPr>
          <w:rFonts w:asciiTheme="minorHAnsi" w:hAnsiTheme="minorHAnsi" w:cstheme="minorHAnsi"/>
          <w:sz w:val="26"/>
          <w:szCs w:val="26"/>
        </w:rPr>
        <w:t xml:space="preserve">designates a CAZ, the </w:t>
      </w:r>
      <w:r w:rsidR="00A423B7">
        <w:rPr>
          <w:rFonts w:asciiTheme="minorHAnsi" w:hAnsiTheme="minorHAnsi" w:cstheme="minorHAnsi"/>
          <w:sz w:val="26"/>
          <w:szCs w:val="26"/>
        </w:rPr>
        <w:t>building code</w:t>
      </w:r>
      <w:r w:rsidR="00454FE7" w:rsidRPr="00C76D56">
        <w:rPr>
          <w:rFonts w:asciiTheme="minorHAnsi" w:hAnsiTheme="minorHAnsi" w:cstheme="minorHAnsi"/>
          <w:sz w:val="26"/>
          <w:szCs w:val="26"/>
        </w:rPr>
        <w:t xml:space="preserve"> treats </w:t>
      </w:r>
      <w:r w:rsidR="00454FE7">
        <w:rPr>
          <w:rFonts w:asciiTheme="minorHAnsi" w:hAnsiTheme="minorHAnsi" w:cstheme="minorHAnsi"/>
          <w:sz w:val="26"/>
          <w:szCs w:val="26"/>
        </w:rPr>
        <w:t>CAZ</w:t>
      </w:r>
      <w:r w:rsidR="00454FE7" w:rsidRPr="00C76D56">
        <w:rPr>
          <w:rFonts w:asciiTheme="minorHAnsi" w:hAnsiTheme="minorHAnsi" w:cstheme="minorHAnsi"/>
          <w:sz w:val="26"/>
          <w:szCs w:val="26"/>
        </w:rPr>
        <w:t xml:space="preserve"> like </w:t>
      </w:r>
      <w:r w:rsidR="003C3891">
        <w:rPr>
          <w:rFonts w:asciiTheme="minorHAnsi" w:hAnsiTheme="minorHAnsi" w:cstheme="minorHAnsi"/>
          <w:sz w:val="26"/>
          <w:szCs w:val="26"/>
        </w:rPr>
        <w:t>Zone V/VE</w:t>
      </w:r>
      <w:r w:rsidR="00454FE7" w:rsidRPr="00C76D56">
        <w:rPr>
          <w:rFonts w:asciiTheme="minorHAnsi" w:hAnsiTheme="minorHAnsi" w:cstheme="minorHAnsi"/>
          <w:sz w:val="26"/>
          <w:szCs w:val="26"/>
        </w:rPr>
        <w:t>, with an exception</w:t>
      </w:r>
      <w:r w:rsidR="00454FE7">
        <w:rPr>
          <w:rFonts w:asciiTheme="minorHAnsi" w:hAnsiTheme="minorHAnsi" w:cstheme="minorHAnsi"/>
          <w:sz w:val="26"/>
          <w:szCs w:val="26"/>
        </w:rPr>
        <w:t xml:space="preserve"> permitting backfilled stem wall foundations, provided the foundations are designed for wave loads, debris impact, erosion and local </w:t>
      </w:r>
      <w:r w:rsidR="00454FE7" w:rsidRPr="00C76D56">
        <w:rPr>
          <w:rFonts w:asciiTheme="minorHAnsi" w:hAnsiTheme="minorHAnsi" w:cstheme="minorHAnsi"/>
          <w:sz w:val="26"/>
          <w:szCs w:val="26"/>
        </w:rPr>
        <w:t>scour.</w:t>
      </w:r>
    </w:p>
    <w:p w14:paraId="63B85E71" w14:textId="77777777" w:rsidR="004F6805" w:rsidRPr="009F2B59" w:rsidRDefault="004F6805" w:rsidP="003510BB">
      <w:pPr>
        <w:rPr>
          <w:rFonts w:asciiTheme="minorHAnsi" w:hAnsiTheme="minorHAnsi" w:cstheme="minorHAnsi"/>
          <w:sz w:val="26"/>
          <w:szCs w:val="26"/>
        </w:rPr>
      </w:pPr>
    </w:p>
    <w:p w14:paraId="5343AAED" w14:textId="3143D03A" w:rsidR="00725C52" w:rsidRPr="009F2B59" w:rsidRDefault="009C5AE3" w:rsidP="000225FA">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380C40">
        <w:rPr>
          <w:rFonts w:asciiTheme="minorHAnsi" w:hAnsiTheme="minorHAnsi" w:cstheme="minorHAnsi"/>
          <w:b/>
          <w:sz w:val="26"/>
          <w:szCs w:val="26"/>
          <w:u w:val="single"/>
        </w:rPr>
        <w:t>Part 2.5 (dwellings)</w:t>
      </w:r>
      <w:r w:rsidR="00D51D60">
        <w:rPr>
          <w:rFonts w:asciiTheme="minorHAnsi" w:hAnsiTheme="minorHAnsi" w:cstheme="minorHAnsi"/>
          <w:b/>
          <w:sz w:val="26"/>
          <w:szCs w:val="26"/>
          <w:u w:val="single"/>
        </w:rPr>
        <w:t xml:space="preserve"> </w:t>
      </w:r>
      <w:r w:rsidR="00F703D8">
        <w:rPr>
          <w:rFonts w:asciiTheme="minorHAnsi" w:hAnsiTheme="minorHAnsi" w:cstheme="minorHAnsi"/>
          <w:b/>
          <w:sz w:val="26"/>
          <w:szCs w:val="26"/>
          <w:u w:val="single"/>
        </w:rPr>
        <w:t>addresses</w:t>
      </w:r>
      <w:r w:rsidR="00F703D8" w:rsidRPr="009F2B59">
        <w:rPr>
          <w:rFonts w:asciiTheme="minorHAnsi" w:hAnsiTheme="minorHAnsi" w:cstheme="minorHAnsi"/>
          <w:b/>
          <w:sz w:val="26"/>
          <w:szCs w:val="26"/>
          <w:u w:val="single"/>
        </w:rPr>
        <w:t xml:space="preserve"> </w:t>
      </w:r>
      <w:r w:rsidR="00BA29ED">
        <w:rPr>
          <w:rFonts w:asciiTheme="minorHAnsi" w:hAnsiTheme="minorHAnsi" w:cstheme="minorHAnsi"/>
          <w:b/>
          <w:sz w:val="26"/>
          <w:szCs w:val="26"/>
          <w:u w:val="single"/>
        </w:rPr>
        <w:t xml:space="preserve">the </w:t>
      </w:r>
      <w:r w:rsidR="00F703D8">
        <w:rPr>
          <w:rFonts w:asciiTheme="minorHAnsi" w:hAnsiTheme="minorHAnsi" w:cstheme="minorHAnsi"/>
          <w:b/>
          <w:sz w:val="26"/>
          <w:szCs w:val="26"/>
          <w:u w:val="single"/>
        </w:rPr>
        <w:t>size of enclosures beneath elevated dwellings</w:t>
      </w:r>
      <w:r w:rsidRPr="009F2B59">
        <w:rPr>
          <w:rFonts w:asciiTheme="minorHAnsi" w:hAnsiTheme="minorHAnsi" w:cstheme="minorHAnsi"/>
          <w:b/>
          <w:sz w:val="26"/>
          <w:szCs w:val="26"/>
          <w:u w:val="single"/>
        </w:rPr>
        <w:t>:</w:t>
      </w:r>
      <w:r w:rsidRPr="009F2B59">
        <w:rPr>
          <w:rFonts w:asciiTheme="minorHAnsi" w:hAnsiTheme="minorHAnsi" w:cstheme="minorHAnsi"/>
          <w:sz w:val="26"/>
          <w:szCs w:val="26"/>
        </w:rPr>
        <w:t xml:space="preserve">  </w:t>
      </w:r>
      <w:r w:rsidR="00380C40">
        <w:rPr>
          <w:rFonts w:asciiTheme="minorHAnsi" w:hAnsiTheme="minorHAnsi" w:cstheme="minorHAnsi"/>
          <w:sz w:val="26"/>
          <w:szCs w:val="26"/>
        </w:rPr>
        <w:t xml:space="preserve">Part 2.5 (dwellings) </w:t>
      </w:r>
      <w:r w:rsidR="00C76D56" w:rsidRPr="00C76D56">
        <w:rPr>
          <w:rFonts w:asciiTheme="minorHAnsi" w:hAnsiTheme="minorHAnsi" w:cstheme="minorHAnsi"/>
          <w:sz w:val="26"/>
          <w:szCs w:val="26"/>
        </w:rPr>
        <w:t>includes the basic NFIP-consistent requirements for enclosed areas and walls below elevated dwellings</w:t>
      </w:r>
      <w:r w:rsidR="00371A86">
        <w:rPr>
          <w:rFonts w:asciiTheme="minorHAnsi" w:hAnsiTheme="minorHAnsi" w:cstheme="minorHAnsi"/>
          <w:sz w:val="26"/>
          <w:szCs w:val="26"/>
        </w:rPr>
        <w:t>, with no limitation on the size of enclosures</w:t>
      </w:r>
      <w:r w:rsidR="00C76D56" w:rsidRPr="00C76D56">
        <w:rPr>
          <w:rFonts w:asciiTheme="minorHAnsi" w:hAnsiTheme="minorHAnsi" w:cstheme="minorHAnsi"/>
          <w:sz w:val="26"/>
          <w:szCs w:val="26"/>
        </w:rPr>
        <w:t xml:space="preserve">.  Requirements for all flood zones are in R322.1, requirements for </w:t>
      </w:r>
      <w:r w:rsidR="003C3891">
        <w:rPr>
          <w:rFonts w:asciiTheme="minorHAnsi" w:hAnsiTheme="minorHAnsi" w:cstheme="minorHAnsi"/>
          <w:sz w:val="26"/>
          <w:szCs w:val="26"/>
        </w:rPr>
        <w:t>flood zones that start with “A”</w:t>
      </w:r>
      <w:r w:rsidR="003C3891" w:rsidRPr="00C76D56">
        <w:rPr>
          <w:rFonts w:asciiTheme="minorHAnsi" w:hAnsiTheme="minorHAnsi" w:cstheme="minorHAnsi"/>
          <w:sz w:val="26"/>
          <w:szCs w:val="26"/>
        </w:rPr>
        <w:t xml:space="preserve"> </w:t>
      </w:r>
      <w:r w:rsidR="00C76D56" w:rsidRPr="00C76D56">
        <w:rPr>
          <w:rFonts w:asciiTheme="minorHAnsi" w:hAnsiTheme="minorHAnsi" w:cstheme="minorHAnsi"/>
          <w:sz w:val="26"/>
          <w:szCs w:val="26"/>
        </w:rPr>
        <w:t xml:space="preserve">are in R322.2, and requirements for </w:t>
      </w:r>
      <w:r w:rsidR="003C3891">
        <w:rPr>
          <w:rFonts w:asciiTheme="minorHAnsi" w:hAnsiTheme="minorHAnsi" w:cstheme="minorHAnsi"/>
          <w:sz w:val="26"/>
          <w:szCs w:val="26"/>
        </w:rPr>
        <w:t>Zone V/VE</w:t>
      </w:r>
      <w:r w:rsidR="00C76D56" w:rsidRPr="00C76D56">
        <w:rPr>
          <w:rFonts w:asciiTheme="minorHAnsi" w:hAnsiTheme="minorHAnsi" w:cstheme="minorHAnsi"/>
          <w:sz w:val="26"/>
          <w:szCs w:val="26"/>
        </w:rPr>
        <w:t xml:space="preserve"> </w:t>
      </w:r>
      <w:r w:rsidR="006D2F30">
        <w:rPr>
          <w:rFonts w:asciiTheme="minorHAnsi" w:hAnsiTheme="minorHAnsi" w:cstheme="minorHAnsi"/>
          <w:sz w:val="26"/>
          <w:szCs w:val="26"/>
        </w:rPr>
        <w:t xml:space="preserve">and CAZ </w:t>
      </w:r>
      <w:r w:rsidR="00C76D56" w:rsidRPr="00C76D56">
        <w:rPr>
          <w:rFonts w:asciiTheme="minorHAnsi" w:hAnsiTheme="minorHAnsi" w:cstheme="minorHAnsi"/>
          <w:sz w:val="26"/>
          <w:szCs w:val="26"/>
        </w:rPr>
        <w:t xml:space="preserve">are in R322.3.  </w:t>
      </w:r>
      <w:r w:rsidR="006D2F30">
        <w:rPr>
          <w:rFonts w:asciiTheme="minorHAnsi" w:hAnsiTheme="minorHAnsi" w:cstheme="minorHAnsi"/>
          <w:sz w:val="26"/>
          <w:szCs w:val="26"/>
        </w:rPr>
        <w:t xml:space="preserve">When a </w:t>
      </w:r>
      <w:r w:rsidR="00C76D56" w:rsidRPr="00C76D56">
        <w:rPr>
          <w:rFonts w:asciiTheme="minorHAnsi" w:hAnsiTheme="minorHAnsi" w:cstheme="minorHAnsi"/>
          <w:sz w:val="26"/>
          <w:szCs w:val="26"/>
        </w:rPr>
        <w:t>FIRM shows a Limit of Moderate Wave Action (</w:t>
      </w:r>
      <w:proofErr w:type="spellStart"/>
      <w:r w:rsidR="00C76D56" w:rsidRPr="00C76D56">
        <w:rPr>
          <w:rFonts w:asciiTheme="minorHAnsi" w:hAnsiTheme="minorHAnsi" w:cstheme="minorHAnsi"/>
          <w:sz w:val="26"/>
          <w:szCs w:val="26"/>
        </w:rPr>
        <w:t>LiMWA</w:t>
      </w:r>
      <w:proofErr w:type="spellEnd"/>
      <w:r w:rsidR="00C76D56" w:rsidRPr="00C76D56">
        <w:rPr>
          <w:rFonts w:asciiTheme="minorHAnsi" w:hAnsiTheme="minorHAnsi" w:cstheme="minorHAnsi"/>
          <w:sz w:val="26"/>
          <w:szCs w:val="26"/>
        </w:rPr>
        <w:t xml:space="preserve">) or a community </w:t>
      </w:r>
      <w:r w:rsidR="006D2F30">
        <w:rPr>
          <w:rFonts w:asciiTheme="minorHAnsi" w:hAnsiTheme="minorHAnsi" w:cstheme="minorHAnsi"/>
          <w:sz w:val="26"/>
          <w:szCs w:val="26"/>
        </w:rPr>
        <w:t xml:space="preserve">otherwise </w:t>
      </w:r>
      <w:r w:rsidR="00C76D56" w:rsidRPr="00C76D56">
        <w:rPr>
          <w:rFonts w:asciiTheme="minorHAnsi" w:hAnsiTheme="minorHAnsi" w:cstheme="minorHAnsi"/>
          <w:sz w:val="26"/>
          <w:szCs w:val="26"/>
        </w:rPr>
        <w:t xml:space="preserve">designates a CAZ, the </w:t>
      </w:r>
      <w:r w:rsidR="00A423B7">
        <w:rPr>
          <w:rFonts w:asciiTheme="minorHAnsi" w:hAnsiTheme="minorHAnsi" w:cstheme="minorHAnsi"/>
          <w:sz w:val="26"/>
          <w:szCs w:val="26"/>
        </w:rPr>
        <w:t>residential code</w:t>
      </w:r>
      <w:r w:rsidR="00C76D56" w:rsidRPr="00C76D56">
        <w:rPr>
          <w:rFonts w:asciiTheme="minorHAnsi" w:hAnsiTheme="minorHAnsi" w:cstheme="minorHAnsi"/>
          <w:sz w:val="26"/>
          <w:szCs w:val="26"/>
        </w:rPr>
        <w:t xml:space="preserve"> treats </w:t>
      </w:r>
      <w:r w:rsidR="00454FE7">
        <w:rPr>
          <w:rFonts w:asciiTheme="minorHAnsi" w:hAnsiTheme="minorHAnsi" w:cstheme="minorHAnsi"/>
          <w:sz w:val="26"/>
          <w:szCs w:val="26"/>
        </w:rPr>
        <w:t>CAZ</w:t>
      </w:r>
      <w:r w:rsidR="00C76D56" w:rsidRPr="00C76D56">
        <w:rPr>
          <w:rFonts w:asciiTheme="minorHAnsi" w:hAnsiTheme="minorHAnsi" w:cstheme="minorHAnsi"/>
          <w:sz w:val="26"/>
          <w:szCs w:val="26"/>
        </w:rPr>
        <w:t xml:space="preserve"> like </w:t>
      </w:r>
      <w:r w:rsidR="003C3891">
        <w:rPr>
          <w:rFonts w:asciiTheme="minorHAnsi" w:hAnsiTheme="minorHAnsi" w:cstheme="minorHAnsi"/>
          <w:sz w:val="26"/>
          <w:szCs w:val="26"/>
        </w:rPr>
        <w:t>Zone V/VE</w:t>
      </w:r>
      <w:r w:rsidR="00C76D56" w:rsidRPr="00C76D56">
        <w:rPr>
          <w:rFonts w:asciiTheme="minorHAnsi" w:hAnsiTheme="minorHAnsi" w:cstheme="minorHAnsi"/>
          <w:sz w:val="26"/>
          <w:szCs w:val="26"/>
        </w:rPr>
        <w:t>, with an exception</w:t>
      </w:r>
      <w:r w:rsidR="006D2F30">
        <w:rPr>
          <w:rFonts w:asciiTheme="minorHAnsi" w:hAnsiTheme="minorHAnsi" w:cstheme="minorHAnsi"/>
          <w:sz w:val="26"/>
          <w:szCs w:val="26"/>
        </w:rPr>
        <w:t xml:space="preserve"> permitting backfilled stem wall foundations, provided the foundations are designed for wave loads, debris impact, erosion and local </w:t>
      </w:r>
      <w:r w:rsidR="00C76D56" w:rsidRPr="00C76D56">
        <w:rPr>
          <w:rFonts w:asciiTheme="minorHAnsi" w:hAnsiTheme="minorHAnsi" w:cstheme="minorHAnsi"/>
          <w:sz w:val="26"/>
          <w:szCs w:val="26"/>
        </w:rPr>
        <w:t>scour.</w:t>
      </w:r>
      <w:r w:rsidR="00454FE7">
        <w:rPr>
          <w:rFonts w:asciiTheme="minorHAnsi" w:hAnsiTheme="minorHAnsi" w:cstheme="minorHAnsi"/>
          <w:sz w:val="26"/>
          <w:szCs w:val="26"/>
        </w:rPr>
        <w:t xml:space="preserve"> </w:t>
      </w:r>
    </w:p>
    <w:p w14:paraId="66012195" w14:textId="77777777" w:rsidR="006B67DD" w:rsidRPr="009F2B59" w:rsidRDefault="006B67DD">
      <w:pPr>
        <w:widowControl/>
        <w:spacing w:before="120" w:after="120"/>
        <w:rPr>
          <w:rFonts w:asciiTheme="minorHAnsi" w:hAnsiTheme="minorHAnsi" w:cstheme="minorHAnsi"/>
          <w:b/>
          <w:sz w:val="26"/>
          <w:szCs w:val="26"/>
          <w:u w:val="single"/>
        </w:rPr>
      </w:pPr>
    </w:p>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3F6C00E2" w14:textId="1CE79F68" w:rsidR="00C76D56" w:rsidRPr="002E3E09" w:rsidRDefault="002E3E09" w:rsidP="00C76D56">
      <w:pPr>
        <w:rPr>
          <w:rFonts w:asciiTheme="minorHAnsi" w:hAnsiTheme="minorHAnsi" w:cstheme="minorHAnsi"/>
          <w:b/>
          <w:bCs/>
          <w:sz w:val="26"/>
          <w:szCs w:val="26"/>
        </w:rPr>
      </w:pPr>
      <w:r w:rsidRPr="002E3E09">
        <w:rPr>
          <w:rFonts w:asciiTheme="minorHAnsi" w:hAnsiTheme="minorHAnsi" w:cstheme="minorHAnsi"/>
          <w:b/>
          <w:bCs/>
          <w:sz w:val="26"/>
          <w:szCs w:val="26"/>
        </w:rPr>
        <w:t xml:space="preserve">Step 1.  </w:t>
      </w:r>
      <w:r w:rsidR="00C76D56" w:rsidRPr="002E3E09">
        <w:rPr>
          <w:rFonts w:asciiTheme="minorHAnsi" w:hAnsiTheme="minorHAnsi" w:cstheme="minorHAnsi"/>
          <w:b/>
          <w:bCs/>
          <w:sz w:val="26"/>
          <w:szCs w:val="26"/>
        </w:rPr>
        <w:t xml:space="preserve">Use this amendment to limit the size of enclosures under elevated buildings/dwellings. </w:t>
      </w:r>
    </w:p>
    <w:p w14:paraId="1EC8C32A" w14:textId="3E6A25CB" w:rsidR="007C4C5A" w:rsidRPr="007C4C5A" w:rsidRDefault="00C76D56" w:rsidP="002A6BDD">
      <w:pPr>
        <w:pStyle w:val="ListParagraph"/>
        <w:numPr>
          <w:ilvl w:val="0"/>
          <w:numId w:val="23"/>
        </w:numPr>
        <w:spacing w:before="120"/>
        <w:rPr>
          <w:rFonts w:asciiTheme="minorHAnsi" w:hAnsiTheme="minorHAnsi" w:cstheme="minorHAnsi"/>
          <w:sz w:val="26"/>
          <w:szCs w:val="26"/>
        </w:rPr>
      </w:pPr>
      <w:r w:rsidRPr="007C4C5A">
        <w:rPr>
          <w:rFonts w:asciiTheme="minorHAnsi" w:hAnsiTheme="minorHAnsi" w:cstheme="minorHAnsi"/>
          <w:iCs/>
          <w:sz w:val="26"/>
          <w:szCs w:val="26"/>
        </w:rPr>
        <w:t xml:space="preserve">You may select the size limit. </w:t>
      </w:r>
      <w:r w:rsidR="00E27EFC" w:rsidRPr="007C4C5A">
        <w:rPr>
          <w:rFonts w:asciiTheme="minorHAnsi" w:hAnsiTheme="minorHAnsi" w:cstheme="minorHAnsi"/>
          <w:iCs/>
          <w:sz w:val="26"/>
          <w:szCs w:val="26"/>
        </w:rPr>
        <w:t xml:space="preserve"> In the sample code change language shown below, insert the size where you see</w:t>
      </w:r>
      <w:r w:rsidR="00E27EFC" w:rsidRPr="007C4C5A">
        <w:rPr>
          <w:rFonts w:ascii="Arial" w:hAnsi="Arial" w:cs="Arial"/>
          <w:iCs/>
          <w:sz w:val="26"/>
          <w:szCs w:val="26"/>
        </w:rPr>
        <w:t xml:space="preserve"> </w:t>
      </w:r>
      <w:r w:rsidR="00E27EFC" w:rsidRPr="007C4C5A">
        <w:rPr>
          <w:rFonts w:ascii="Arial" w:hAnsi="Arial" w:cs="Arial"/>
          <w:b/>
          <w:bCs/>
          <w:iCs/>
          <w:sz w:val="22"/>
          <w:szCs w:val="22"/>
          <w:u w:val="single"/>
        </w:rPr>
        <w:t>{insert number}</w:t>
      </w:r>
      <w:r w:rsidR="00E27EFC" w:rsidRPr="007C4C5A">
        <w:rPr>
          <w:rFonts w:ascii="Arial" w:hAnsi="Arial" w:cs="Arial"/>
          <w:iCs/>
          <w:sz w:val="22"/>
          <w:szCs w:val="22"/>
          <w:u w:val="single"/>
        </w:rPr>
        <w:t>.</w:t>
      </w:r>
      <w:r w:rsidRPr="007C4C5A">
        <w:rPr>
          <w:rFonts w:ascii="Arial" w:hAnsi="Arial" w:cs="Arial"/>
          <w:iCs/>
          <w:sz w:val="26"/>
          <w:szCs w:val="26"/>
        </w:rPr>
        <w:t xml:space="preserve"> </w:t>
      </w:r>
      <w:r w:rsidRPr="007C4C5A">
        <w:rPr>
          <w:rFonts w:asciiTheme="minorHAnsi" w:hAnsiTheme="minorHAnsi" w:cstheme="minorHAnsi"/>
          <w:iCs/>
          <w:sz w:val="26"/>
          <w:szCs w:val="26"/>
        </w:rPr>
        <w:t xml:space="preserve">Because NFIP flood insurance is more expensive in </w:t>
      </w:r>
      <w:r w:rsidR="003C3891">
        <w:rPr>
          <w:rFonts w:asciiTheme="minorHAnsi" w:hAnsiTheme="minorHAnsi" w:cstheme="minorHAnsi"/>
          <w:iCs/>
          <w:sz w:val="26"/>
          <w:szCs w:val="26"/>
        </w:rPr>
        <w:t>Zone V/VE</w:t>
      </w:r>
      <w:r w:rsidRPr="007C4C5A">
        <w:rPr>
          <w:rFonts w:asciiTheme="minorHAnsi" w:hAnsiTheme="minorHAnsi" w:cstheme="minorHAnsi"/>
          <w:iCs/>
          <w:sz w:val="26"/>
          <w:szCs w:val="26"/>
        </w:rPr>
        <w:t xml:space="preserve"> when buildings have enclosures that are 300 sq. ft. or larger in size, many communities elect to use a size limit of 295 sq. ft. (or less) to decrease the likelihood of enclosures being slightly larger than the 300 sq. ft. trigger. NOTE that when surveyors complete </w:t>
      </w:r>
      <w:r w:rsidR="006D2F30" w:rsidRPr="007C4C5A">
        <w:rPr>
          <w:rFonts w:asciiTheme="minorHAnsi" w:hAnsiTheme="minorHAnsi" w:cstheme="minorHAnsi"/>
          <w:iCs/>
          <w:sz w:val="26"/>
          <w:szCs w:val="26"/>
        </w:rPr>
        <w:t xml:space="preserve">FEMA </w:t>
      </w:r>
      <w:r w:rsidRPr="007C4C5A">
        <w:rPr>
          <w:rFonts w:asciiTheme="minorHAnsi" w:hAnsiTheme="minorHAnsi" w:cstheme="minorHAnsi"/>
          <w:iCs/>
          <w:sz w:val="26"/>
          <w:szCs w:val="26"/>
        </w:rPr>
        <w:t>Elevation Certificates</w:t>
      </w:r>
      <w:r w:rsidR="006D2F30" w:rsidRPr="007C4C5A">
        <w:rPr>
          <w:rFonts w:asciiTheme="minorHAnsi" w:hAnsiTheme="minorHAnsi" w:cstheme="minorHAnsi"/>
          <w:iCs/>
          <w:sz w:val="26"/>
          <w:szCs w:val="26"/>
        </w:rPr>
        <w:t>,</w:t>
      </w:r>
      <w:r w:rsidRPr="007C4C5A">
        <w:rPr>
          <w:rFonts w:asciiTheme="minorHAnsi" w:hAnsiTheme="minorHAnsi" w:cstheme="minorHAnsi"/>
          <w:iCs/>
          <w:sz w:val="26"/>
          <w:szCs w:val="26"/>
        </w:rPr>
        <w:t xml:space="preserve"> the measurement of the area of enclosures/garages is taken on the outside.</w:t>
      </w:r>
    </w:p>
    <w:p w14:paraId="58AA0EA1" w14:textId="6E4EA2E9" w:rsidR="00AF5DBC" w:rsidRPr="007C4C5A" w:rsidRDefault="00AF5DBC" w:rsidP="002A6BDD">
      <w:pPr>
        <w:pStyle w:val="ListParagraph"/>
        <w:numPr>
          <w:ilvl w:val="0"/>
          <w:numId w:val="23"/>
        </w:numPr>
        <w:spacing w:before="120"/>
        <w:rPr>
          <w:rFonts w:asciiTheme="minorHAnsi" w:hAnsiTheme="minorHAnsi" w:cstheme="minorHAnsi"/>
          <w:sz w:val="26"/>
          <w:szCs w:val="26"/>
        </w:rPr>
      </w:pPr>
      <w:r w:rsidRPr="007C4C5A">
        <w:rPr>
          <w:rFonts w:asciiTheme="minorHAnsi" w:hAnsiTheme="minorHAnsi" w:cstheme="minorHAnsi"/>
          <w:sz w:val="26"/>
          <w:szCs w:val="26"/>
        </w:rPr>
        <w:t>You may decide to apply a size limit to all buildings (</w:t>
      </w:r>
      <w:r w:rsidR="00380C40">
        <w:rPr>
          <w:rFonts w:asciiTheme="minorHAnsi" w:hAnsiTheme="minorHAnsi" w:cstheme="minorHAnsi"/>
          <w:sz w:val="26"/>
          <w:szCs w:val="26"/>
        </w:rPr>
        <w:t>Part 2 and Part 2.5</w:t>
      </w:r>
      <w:r w:rsidRPr="007C4C5A">
        <w:rPr>
          <w:rFonts w:asciiTheme="minorHAnsi" w:hAnsiTheme="minorHAnsi" w:cstheme="minorHAnsi"/>
          <w:sz w:val="26"/>
          <w:szCs w:val="26"/>
        </w:rPr>
        <w:t>) or only to one- and two-family dwellings (</w:t>
      </w:r>
      <w:r w:rsidR="00380C40">
        <w:rPr>
          <w:rFonts w:asciiTheme="minorHAnsi" w:hAnsiTheme="minorHAnsi" w:cstheme="minorHAnsi"/>
          <w:sz w:val="26"/>
          <w:szCs w:val="26"/>
        </w:rPr>
        <w:t>Part 2.5</w:t>
      </w:r>
      <w:r w:rsidRPr="007C4C5A">
        <w:rPr>
          <w:rFonts w:asciiTheme="minorHAnsi" w:hAnsiTheme="minorHAnsi" w:cstheme="minorHAnsi"/>
          <w:sz w:val="26"/>
          <w:szCs w:val="26"/>
        </w:rPr>
        <w:t>).</w:t>
      </w:r>
    </w:p>
    <w:p w14:paraId="6AD2EA3A" w14:textId="131970A6" w:rsidR="007C4C5A" w:rsidRPr="007C4C5A" w:rsidRDefault="00C76D56" w:rsidP="002A6BDD">
      <w:pPr>
        <w:pStyle w:val="ListParagraph"/>
        <w:numPr>
          <w:ilvl w:val="0"/>
          <w:numId w:val="23"/>
        </w:numPr>
        <w:spacing w:before="120"/>
        <w:rPr>
          <w:rFonts w:asciiTheme="minorHAnsi" w:hAnsiTheme="minorHAnsi" w:cstheme="minorHAnsi"/>
          <w:sz w:val="26"/>
          <w:szCs w:val="26"/>
        </w:rPr>
      </w:pPr>
      <w:r w:rsidRPr="007C4C5A">
        <w:rPr>
          <w:rFonts w:asciiTheme="minorHAnsi" w:hAnsiTheme="minorHAnsi" w:cstheme="minorHAnsi"/>
          <w:iCs/>
          <w:sz w:val="26"/>
          <w:szCs w:val="26"/>
        </w:rPr>
        <w:t xml:space="preserve">In </w:t>
      </w:r>
      <w:r w:rsidR="003C3891">
        <w:rPr>
          <w:rFonts w:asciiTheme="minorHAnsi" w:hAnsiTheme="minorHAnsi" w:cstheme="minorHAnsi"/>
          <w:sz w:val="26"/>
          <w:szCs w:val="26"/>
        </w:rPr>
        <w:t>flood zones that start with “A”</w:t>
      </w:r>
      <w:r w:rsidRPr="007C4C5A">
        <w:rPr>
          <w:rFonts w:asciiTheme="minorHAnsi" w:hAnsiTheme="minorHAnsi" w:cstheme="minorHAnsi"/>
          <w:iCs/>
          <w:sz w:val="26"/>
          <w:szCs w:val="26"/>
        </w:rPr>
        <w:t xml:space="preserve">, this amendment also limits the size of crawlspaces, except crawlspaces that are less than a certain height (you may select the height; </w:t>
      </w:r>
      <w:r w:rsidR="007C4C5A" w:rsidRPr="007C4C5A">
        <w:rPr>
          <w:rFonts w:asciiTheme="minorHAnsi" w:hAnsiTheme="minorHAnsi" w:cstheme="minorHAnsi"/>
          <w:iCs/>
          <w:sz w:val="26"/>
          <w:szCs w:val="26"/>
        </w:rPr>
        <w:t xml:space="preserve">4 or 5 is common). </w:t>
      </w:r>
      <w:r w:rsidRPr="007C4C5A">
        <w:rPr>
          <w:rFonts w:asciiTheme="minorHAnsi" w:hAnsiTheme="minorHAnsi" w:cstheme="minorHAnsi"/>
          <w:iCs/>
          <w:sz w:val="26"/>
          <w:szCs w:val="26"/>
        </w:rPr>
        <w:t>Applying</w:t>
      </w:r>
      <w:r w:rsidR="006D2F30" w:rsidRPr="007C4C5A">
        <w:rPr>
          <w:rFonts w:asciiTheme="minorHAnsi" w:hAnsiTheme="minorHAnsi" w:cstheme="minorHAnsi"/>
          <w:iCs/>
          <w:sz w:val="26"/>
          <w:szCs w:val="26"/>
        </w:rPr>
        <w:t xml:space="preserve"> the limitation</w:t>
      </w:r>
      <w:r w:rsidRPr="007C4C5A">
        <w:rPr>
          <w:rFonts w:asciiTheme="minorHAnsi" w:hAnsiTheme="minorHAnsi" w:cstheme="minorHAnsi"/>
          <w:iCs/>
          <w:sz w:val="26"/>
          <w:szCs w:val="26"/>
        </w:rPr>
        <w:t xml:space="preserve"> only to crawlspaces </w:t>
      </w:r>
      <w:r w:rsidRPr="007C4C5A">
        <w:rPr>
          <w:rFonts w:asciiTheme="minorHAnsi" w:hAnsiTheme="minorHAnsi" w:cstheme="minorHAnsi"/>
          <w:iCs/>
          <w:sz w:val="26"/>
          <w:szCs w:val="26"/>
        </w:rPr>
        <w:lastRenderedPageBreak/>
        <w:t xml:space="preserve">of a certain height is intended to dissuade future owners from excavating “taller” crawlspaces to add usable area, which would create basements that are not permitted.  </w:t>
      </w:r>
      <w:r w:rsidR="007C4C5A" w:rsidRPr="007C4C5A">
        <w:rPr>
          <w:rFonts w:asciiTheme="minorHAnsi" w:hAnsiTheme="minorHAnsi" w:cstheme="minorHAnsi"/>
          <w:iCs/>
          <w:sz w:val="26"/>
          <w:szCs w:val="26"/>
        </w:rPr>
        <w:t>R</w:t>
      </w:r>
      <w:r w:rsidR="00AF5DBC">
        <w:rPr>
          <w:rFonts w:asciiTheme="minorHAnsi" w:hAnsiTheme="minorHAnsi" w:cstheme="minorHAnsi"/>
          <w:iCs/>
          <w:sz w:val="26"/>
          <w:szCs w:val="26"/>
        </w:rPr>
        <w:t>emove the phrase “except for crawlspace foundations that have a wall height less than {insert number} feet.</w:t>
      </w:r>
    </w:p>
    <w:p w14:paraId="7F0C7936" w14:textId="5D20C86D" w:rsidR="007C4C5A" w:rsidRPr="007C4C5A" w:rsidRDefault="00C76D56" w:rsidP="002A6BDD">
      <w:pPr>
        <w:pStyle w:val="ListParagraph"/>
        <w:numPr>
          <w:ilvl w:val="0"/>
          <w:numId w:val="23"/>
        </w:numPr>
        <w:spacing w:before="120"/>
        <w:rPr>
          <w:rFonts w:asciiTheme="minorHAnsi" w:hAnsiTheme="minorHAnsi" w:cstheme="minorHAnsi"/>
          <w:sz w:val="26"/>
          <w:szCs w:val="26"/>
        </w:rPr>
      </w:pPr>
      <w:r w:rsidRPr="007C4C5A">
        <w:rPr>
          <w:rFonts w:asciiTheme="minorHAnsi" w:hAnsiTheme="minorHAnsi" w:cstheme="minorHAnsi"/>
          <w:iCs/>
          <w:sz w:val="26"/>
          <w:szCs w:val="26"/>
        </w:rPr>
        <w:t xml:space="preserve">In </w:t>
      </w:r>
      <w:r w:rsidR="003C3891">
        <w:rPr>
          <w:rFonts w:asciiTheme="minorHAnsi" w:hAnsiTheme="minorHAnsi" w:cstheme="minorHAnsi"/>
          <w:iCs/>
          <w:sz w:val="26"/>
          <w:szCs w:val="26"/>
        </w:rPr>
        <w:t>Zone V/VE</w:t>
      </w:r>
      <w:r w:rsidRPr="007C4C5A">
        <w:rPr>
          <w:rFonts w:asciiTheme="minorHAnsi" w:hAnsiTheme="minorHAnsi" w:cstheme="minorHAnsi"/>
          <w:iCs/>
          <w:sz w:val="26"/>
          <w:szCs w:val="26"/>
        </w:rPr>
        <w:t xml:space="preserve"> and CAZ, this additional language limits the size of all enclosures – even enclosures surrounded by insect screening or open lattice because th</w:t>
      </w:r>
      <w:r w:rsidR="00AF5DBC">
        <w:rPr>
          <w:rFonts w:asciiTheme="minorHAnsi" w:hAnsiTheme="minorHAnsi" w:cstheme="minorHAnsi"/>
          <w:iCs/>
          <w:sz w:val="26"/>
          <w:szCs w:val="26"/>
        </w:rPr>
        <w:t>ose enclosures</w:t>
      </w:r>
      <w:r w:rsidRPr="007C4C5A">
        <w:rPr>
          <w:rFonts w:asciiTheme="minorHAnsi" w:hAnsiTheme="minorHAnsi" w:cstheme="minorHAnsi"/>
          <w:iCs/>
          <w:sz w:val="26"/>
          <w:szCs w:val="26"/>
        </w:rPr>
        <w:t xml:space="preserve"> could be modified in the future to have solid walls.</w:t>
      </w:r>
    </w:p>
    <w:p w14:paraId="3CEAE054" w14:textId="54CEAD15" w:rsidR="00BB195B" w:rsidRPr="007C4C5A" w:rsidRDefault="00C76D56" w:rsidP="002A6BDD">
      <w:pPr>
        <w:pStyle w:val="ListParagraph"/>
        <w:numPr>
          <w:ilvl w:val="0"/>
          <w:numId w:val="23"/>
        </w:numPr>
        <w:spacing w:before="120"/>
        <w:rPr>
          <w:rFonts w:asciiTheme="minorHAnsi" w:hAnsiTheme="minorHAnsi" w:cstheme="minorHAnsi"/>
          <w:sz w:val="26"/>
          <w:szCs w:val="26"/>
        </w:rPr>
      </w:pPr>
      <w:r w:rsidRPr="007C4C5A">
        <w:rPr>
          <w:rFonts w:asciiTheme="minorHAnsi" w:hAnsiTheme="minorHAnsi" w:cstheme="minorHAnsi"/>
          <w:iCs/>
          <w:sz w:val="26"/>
          <w:szCs w:val="26"/>
        </w:rPr>
        <w:t xml:space="preserve">To apply in only </w:t>
      </w:r>
      <w:r w:rsidR="003C3891">
        <w:rPr>
          <w:rFonts w:asciiTheme="minorHAnsi" w:hAnsiTheme="minorHAnsi" w:cstheme="minorHAnsi"/>
          <w:iCs/>
          <w:sz w:val="26"/>
          <w:szCs w:val="26"/>
        </w:rPr>
        <w:t>Zone V/VE</w:t>
      </w:r>
      <w:r w:rsidRPr="007C4C5A">
        <w:rPr>
          <w:rFonts w:asciiTheme="minorHAnsi" w:hAnsiTheme="minorHAnsi" w:cstheme="minorHAnsi"/>
          <w:iCs/>
          <w:sz w:val="26"/>
          <w:szCs w:val="26"/>
        </w:rPr>
        <w:t xml:space="preserve"> and CAZ, </w:t>
      </w:r>
      <w:r w:rsidR="00AF5DBC">
        <w:rPr>
          <w:rFonts w:asciiTheme="minorHAnsi" w:hAnsiTheme="minorHAnsi" w:cstheme="minorHAnsi"/>
          <w:iCs/>
          <w:sz w:val="26"/>
          <w:szCs w:val="26"/>
        </w:rPr>
        <w:t xml:space="preserve">modify only </w:t>
      </w:r>
      <w:r w:rsidRPr="007C4C5A">
        <w:rPr>
          <w:rFonts w:asciiTheme="minorHAnsi" w:hAnsiTheme="minorHAnsi" w:cstheme="minorHAnsi"/>
          <w:iCs/>
          <w:sz w:val="26"/>
          <w:szCs w:val="26"/>
        </w:rPr>
        <w:t>R322.3.5.  Check with Technical Support for guidance on modifying the amendment to 1612.</w:t>
      </w:r>
      <w:r w:rsidR="00CF5408">
        <w:rPr>
          <w:rFonts w:asciiTheme="minorHAnsi" w:hAnsiTheme="minorHAnsi" w:cstheme="minorHAnsi"/>
          <w:iCs/>
          <w:sz w:val="26"/>
          <w:szCs w:val="26"/>
        </w:rPr>
        <w:t>2</w:t>
      </w:r>
      <w:r w:rsidRPr="007C4C5A">
        <w:rPr>
          <w:rFonts w:asciiTheme="minorHAnsi" w:hAnsiTheme="minorHAnsi" w:cstheme="minorHAnsi"/>
          <w:iCs/>
          <w:sz w:val="26"/>
          <w:szCs w:val="26"/>
        </w:rPr>
        <w:t>.</w:t>
      </w:r>
    </w:p>
    <w:p w14:paraId="53958CAB" w14:textId="77777777" w:rsidR="006B767D" w:rsidRPr="009F2B59" w:rsidRDefault="006B767D" w:rsidP="009A4603">
      <w:pPr>
        <w:rPr>
          <w:rFonts w:asciiTheme="minorHAnsi" w:hAnsiTheme="minorHAnsi" w:cstheme="minorHAnsi"/>
          <w:sz w:val="26"/>
          <w:szCs w:val="26"/>
        </w:rPr>
      </w:pPr>
    </w:p>
    <w:p w14:paraId="0BA38687" w14:textId="1F46CEFA" w:rsidR="00FE1AC3" w:rsidRPr="002E3E09" w:rsidRDefault="001F317D" w:rsidP="00FE1AC3">
      <w:pPr>
        <w:rPr>
          <w:rFonts w:asciiTheme="minorHAnsi" w:hAnsiTheme="minorHAnsi" w:cstheme="minorHAnsi"/>
          <w:iCs/>
          <w:sz w:val="26"/>
          <w:szCs w:val="26"/>
        </w:rPr>
      </w:pPr>
      <w:r w:rsidRPr="002E3E09">
        <w:rPr>
          <w:rFonts w:asciiTheme="minorHAnsi" w:hAnsiTheme="minorHAnsi" w:cstheme="minorHAnsi"/>
          <w:b/>
          <w:iCs/>
          <w:sz w:val="26"/>
          <w:szCs w:val="26"/>
        </w:rPr>
        <w:t>Step</w:t>
      </w:r>
      <w:r w:rsidR="007D39D5" w:rsidRPr="002E3E09">
        <w:rPr>
          <w:rFonts w:asciiTheme="minorHAnsi" w:hAnsiTheme="minorHAnsi" w:cstheme="minorHAnsi"/>
          <w:b/>
          <w:iCs/>
          <w:sz w:val="26"/>
          <w:szCs w:val="26"/>
        </w:rPr>
        <w:t xml:space="preserve"> </w:t>
      </w:r>
      <w:r w:rsidRPr="002E3E09">
        <w:rPr>
          <w:rFonts w:asciiTheme="minorHAnsi" w:hAnsiTheme="minorHAnsi" w:cstheme="minorHAnsi"/>
          <w:b/>
          <w:iCs/>
          <w:sz w:val="26"/>
          <w:szCs w:val="26"/>
        </w:rPr>
        <w:t>2.</w:t>
      </w:r>
      <w:r w:rsidRPr="002E3E09">
        <w:rPr>
          <w:rFonts w:asciiTheme="minorHAnsi" w:hAnsiTheme="minorHAnsi" w:cstheme="minorHAnsi"/>
          <w:iCs/>
          <w:sz w:val="26"/>
          <w:szCs w:val="26"/>
        </w:rPr>
        <w:t xml:space="preserve">  </w:t>
      </w:r>
      <w:r w:rsidR="00604205">
        <w:rPr>
          <w:rFonts w:asciiTheme="minorHAnsi" w:hAnsiTheme="minorHAnsi" w:cstheme="minorHAnsi"/>
          <w:b/>
          <w:sz w:val="26"/>
          <w:szCs w:val="26"/>
        </w:rPr>
        <w:t xml:space="preserve">Amend </w:t>
      </w:r>
      <w:r w:rsidR="00380C40">
        <w:rPr>
          <w:rFonts w:asciiTheme="minorHAnsi" w:hAnsiTheme="minorHAnsi" w:cstheme="minorHAnsi"/>
          <w:b/>
          <w:sz w:val="26"/>
          <w:szCs w:val="26"/>
        </w:rPr>
        <w:t>Part 2</w:t>
      </w:r>
      <w:r w:rsidR="00604205">
        <w:rPr>
          <w:rFonts w:asciiTheme="minorHAnsi" w:hAnsiTheme="minorHAnsi" w:cstheme="minorHAnsi"/>
          <w:b/>
          <w:sz w:val="26"/>
          <w:szCs w:val="26"/>
        </w:rPr>
        <w:t xml:space="preserve"> </w:t>
      </w:r>
      <w:r w:rsidR="00604205">
        <w:rPr>
          <w:rFonts w:asciiTheme="minorHAnsi" w:hAnsiTheme="minorHAnsi" w:cstheme="minorHAnsi"/>
          <w:b/>
          <w:bCs/>
          <w:sz w:val="26"/>
          <w:szCs w:val="26"/>
        </w:rPr>
        <w:t xml:space="preserve">(all buildings except 1- and 2-family dwellings and townhouses less than three stories). </w:t>
      </w:r>
      <w:r w:rsidR="00604205">
        <w:rPr>
          <w:rFonts w:asciiTheme="minorHAnsi" w:hAnsiTheme="minorHAnsi" w:cstheme="minorHAnsi"/>
          <w:sz w:val="26"/>
          <w:szCs w:val="26"/>
        </w:rPr>
        <w:t xml:space="preserve">Add a section to the ordinance that adopts local amendments to </w:t>
      </w:r>
      <w:r w:rsidR="00380C40">
        <w:rPr>
          <w:rFonts w:asciiTheme="minorHAnsi" w:hAnsiTheme="minorHAnsi" w:cstheme="minorHAnsi"/>
          <w:sz w:val="26"/>
          <w:szCs w:val="26"/>
        </w:rPr>
        <w:t>Part 2</w:t>
      </w:r>
      <w:r w:rsidR="00604205">
        <w:rPr>
          <w:rFonts w:asciiTheme="minorHAnsi" w:hAnsiTheme="minorHAnsi" w:cstheme="minorHAnsi"/>
          <w:sz w:val="26"/>
          <w:szCs w:val="26"/>
        </w:rPr>
        <w:t>.  To make the changes discernable, maintain strikethrough and underlining.</w:t>
      </w:r>
    </w:p>
    <w:p w14:paraId="1B6C9208"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41D559F8" w14:textId="77777777" w:rsidR="00604205" w:rsidRDefault="00604205" w:rsidP="009F2B59">
            <w:pPr>
              <w:widowControl/>
              <w:rPr>
                <w:rFonts w:ascii="Arial" w:hAnsi="Arial" w:cs="Arial"/>
                <w:bCs/>
                <w:i/>
                <w:iCs/>
                <w:sz w:val="22"/>
                <w:szCs w:val="22"/>
              </w:rPr>
            </w:pPr>
          </w:p>
          <w:p w14:paraId="35A6B321" w14:textId="1C2305B0" w:rsidR="00D55A4A" w:rsidRPr="00604205" w:rsidRDefault="00380C40" w:rsidP="009F2B59">
            <w:pPr>
              <w:widowControl/>
              <w:rPr>
                <w:rFonts w:ascii="Arial" w:hAnsi="Arial" w:cs="Arial"/>
                <w:bCs/>
                <w:i/>
                <w:iCs/>
                <w:sz w:val="22"/>
                <w:szCs w:val="22"/>
              </w:rPr>
            </w:pPr>
            <w:r>
              <w:rPr>
                <w:rFonts w:ascii="Arial" w:hAnsi="Arial" w:cs="Arial"/>
                <w:bCs/>
                <w:i/>
                <w:iCs/>
                <w:sz w:val="22"/>
                <w:szCs w:val="22"/>
              </w:rPr>
              <w:t xml:space="preserve">CCR Title 24, Part 2 is hereby amended by adding </w:t>
            </w:r>
            <w:r w:rsidR="00D55A4A" w:rsidRPr="00604205">
              <w:rPr>
                <w:rFonts w:ascii="Arial" w:hAnsi="Arial" w:cs="Arial"/>
                <w:bCs/>
                <w:i/>
                <w:iCs/>
                <w:sz w:val="22"/>
                <w:szCs w:val="22"/>
              </w:rPr>
              <w:t xml:space="preserve">a new section </w:t>
            </w:r>
            <w:r w:rsidR="00604205" w:rsidRPr="00604205">
              <w:rPr>
                <w:rFonts w:ascii="Arial" w:hAnsi="Arial" w:cs="Arial"/>
                <w:bCs/>
                <w:i/>
                <w:iCs/>
                <w:sz w:val="22"/>
                <w:szCs w:val="22"/>
              </w:rPr>
              <w:t>1612.</w:t>
            </w:r>
            <w:r w:rsidR="00CF5408">
              <w:rPr>
                <w:rFonts w:ascii="Arial" w:hAnsi="Arial" w:cs="Arial"/>
                <w:bCs/>
                <w:i/>
                <w:iCs/>
                <w:sz w:val="22"/>
                <w:szCs w:val="22"/>
              </w:rPr>
              <w:t>2</w:t>
            </w:r>
            <w:r w:rsidR="00604205" w:rsidRPr="00604205">
              <w:rPr>
                <w:rFonts w:ascii="Arial" w:hAnsi="Arial" w:cs="Arial"/>
                <w:bCs/>
                <w:i/>
                <w:iCs/>
                <w:sz w:val="22"/>
                <w:szCs w:val="22"/>
              </w:rPr>
              <w:t xml:space="preserve">.1 </w:t>
            </w:r>
            <w:r w:rsidR="00D55A4A" w:rsidRPr="00604205">
              <w:rPr>
                <w:rFonts w:ascii="Arial" w:hAnsi="Arial" w:cs="Arial"/>
                <w:bCs/>
                <w:i/>
                <w:iCs/>
                <w:sz w:val="22"/>
                <w:szCs w:val="22"/>
              </w:rPr>
              <w:t>as follows:</w:t>
            </w:r>
          </w:p>
          <w:p w14:paraId="53AC623D" w14:textId="77777777" w:rsidR="00D55A4A" w:rsidRDefault="00D55A4A" w:rsidP="009F2B59">
            <w:pPr>
              <w:widowControl/>
              <w:rPr>
                <w:rFonts w:ascii="Arial" w:hAnsi="Arial" w:cs="Arial"/>
                <w:b/>
                <w:sz w:val="22"/>
                <w:szCs w:val="22"/>
              </w:rPr>
            </w:pPr>
          </w:p>
          <w:p w14:paraId="1F62B99C" w14:textId="77176F8B" w:rsidR="008051C9" w:rsidRPr="00D55A4A" w:rsidRDefault="00D55A4A" w:rsidP="008051C9">
            <w:pPr>
              <w:ind w:left="360"/>
              <w:rPr>
                <w:rFonts w:ascii="Times New Roman" w:hAnsi="Times New Roman"/>
                <w:iCs/>
                <w:sz w:val="24"/>
                <w:szCs w:val="24"/>
                <w:u w:val="single"/>
              </w:rPr>
            </w:pPr>
            <w:r w:rsidRPr="00D55A4A">
              <w:rPr>
                <w:rFonts w:ascii="Arial" w:hAnsi="Arial" w:cs="Arial"/>
                <w:b/>
                <w:bCs/>
                <w:iCs/>
                <w:sz w:val="22"/>
                <w:szCs w:val="22"/>
                <w:u w:val="single"/>
              </w:rPr>
              <w:t>1612.</w:t>
            </w:r>
            <w:r w:rsidR="00CF5408">
              <w:rPr>
                <w:rFonts w:ascii="Arial" w:hAnsi="Arial" w:cs="Arial"/>
                <w:b/>
                <w:bCs/>
                <w:iCs/>
                <w:sz w:val="22"/>
                <w:szCs w:val="22"/>
                <w:u w:val="single"/>
              </w:rPr>
              <w:t>2</w:t>
            </w:r>
            <w:r w:rsidRPr="00D55A4A">
              <w:rPr>
                <w:rFonts w:ascii="Arial" w:hAnsi="Arial" w:cs="Arial"/>
                <w:b/>
                <w:bCs/>
                <w:iCs/>
                <w:sz w:val="22"/>
                <w:szCs w:val="22"/>
                <w:u w:val="single"/>
              </w:rPr>
              <w:t>.1 Modification of ASCE 24: Additional requirements for enclosed areas.</w:t>
            </w:r>
            <w:r w:rsidRPr="00D55A4A">
              <w:rPr>
                <w:rFonts w:ascii="Arial" w:hAnsi="Arial" w:cs="Arial"/>
                <w:iCs/>
                <w:sz w:val="22"/>
                <w:szCs w:val="22"/>
                <w:u w:val="single"/>
              </w:rPr>
              <w:t xml:space="preserve"> In addition to the requirements of ASCE 24, enclosed areas below the lowest floor shall be not more than </w:t>
            </w:r>
            <w:r w:rsidRPr="00D55A4A">
              <w:rPr>
                <w:rFonts w:ascii="Arial" w:hAnsi="Arial" w:cs="Arial"/>
                <w:b/>
                <w:bCs/>
                <w:iCs/>
                <w:sz w:val="22"/>
                <w:szCs w:val="22"/>
                <w:u w:val="single"/>
              </w:rPr>
              <w:t>{insert number}</w:t>
            </w:r>
            <w:r w:rsidRPr="00D55A4A">
              <w:rPr>
                <w:rFonts w:ascii="Arial" w:hAnsi="Arial" w:cs="Arial"/>
                <w:iCs/>
                <w:sz w:val="22"/>
                <w:szCs w:val="22"/>
                <w:u w:val="single"/>
              </w:rPr>
              <w:t xml:space="preserve"> square feet in area</w:t>
            </w:r>
            <w:r w:rsidR="007C4C5A">
              <w:rPr>
                <w:rFonts w:ascii="Arial" w:hAnsi="Arial" w:cs="Arial"/>
                <w:iCs/>
                <w:sz w:val="22"/>
                <w:szCs w:val="22"/>
                <w:u w:val="single"/>
              </w:rPr>
              <w:t xml:space="preserve">, except for crawlspace foundations that have a wall height </w:t>
            </w:r>
            <w:r w:rsidR="00AF5DBC">
              <w:rPr>
                <w:rFonts w:ascii="Arial" w:hAnsi="Arial" w:cs="Arial"/>
                <w:iCs/>
                <w:sz w:val="22"/>
                <w:szCs w:val="22"/>
                <w:u w:val="single"/>
              </w:rPr>
              <w:t xml:space="preserve">less </w:t>
            </w:r>
            <w:r w:rsidR="007C4C5A" w:rsidRPr="00E06DB4">
              <w:rPr>
                <w:rFonts w:ascii="Arial" w:hAnsi="Arial" w:cs="Arial"/>
                <w:sz w:val="22"/>
                <w:szCs w:val="22"/>
                <w:u w:val="single"/>
              </w:rPr>
              <w:t xml:space="preserve">than </w:t>
            </w:r>
            <w:r w:rsidR="007C4C5A" w:rsidRPr="00E06DB4">
              <w:rPr>
                <w:rFonts w:ascii="Arial" w:hAnsi="Arial" w:cs="Arial"/>
                <w:b/>
                <w:sz w:val="22"/>
                <w:szCs w:val="22"/>
                <w:u w:val="single"/>
              </w:rPr>
              <w:t>{insert number}</w:t>
            </w:r>
            <w:r w:rsidR="007C4C5A" w:rsidRPr="00E06DB4">
              <w:rPr>
                <w:rFonts w:ascii="Arial" w:hAnsi="Arial" w:cs="Arial"/>
                <w:sz w:val="22"/>
                <w:szCs w:val="22"/>
                <w:u w:val="single"/>
              </w:rPr>
              <w:t xml:space="preserve"> feet.</w:t>
            </w:r>
          </w:p>
          <w:p w14:paraId="6223D29E" w14:textId="77777777" w:rsidR="008051C9" w:rsidRDefault="008051C9" w:rsidP="000225FA">
            <w:pPr>
              <w:tabs>
                <w:tab w:val="left" w:pos="432"/>
              </w:tabs>
              <w:ind w:left="360"/>
              <w:rPr>
                <w:rFonts w:ascii="Arial" w:hAnsi="Arial" w:cs="Arial"/>
                <w:sz w:val="22"/>
                <w:szCs w:val="22"/>
              </w:rPr>
            </w:pPr>
          </w:p>
        </w:tc>
      </w:tr>
    </w:tbl>
    <w:p w14:paraId="165A4B9D" w14:textId="77777777" w:rsidR="00FE1AC3" w:rsidRPr="009F2B59" w:rsidRDefault="00FE1AC3" w:rsidP="00FE1AC3">
      <w:pPr>
        <w:rPr>
          <w:rFonts w:asciiTheme="minorHAnsi" w:hAnsiTheme="minorHAnsi" w:cstheme="minorHAnsi"/>
          <w:i/>
          <w:sz w:val="26"/>
          <w:szCs w:val="26"/>
        </w:rPr>
      </w:pPr>
    </w:p>
    <w:p w14:paraId="03D8C060" w14:textId="2E0A6265" w:rsidR="00F00B45" w:rsidRDefault="00FE1AC3" w:rsidP="00F00B45">
      <w:pPr>
        <w:rPr>
          <w:rFonts w:asciiTheme="minorHAnsi" w:hAnsiTheme="minorHAnsi" w:cstheme="minorHAnsi"/>
          <w:sz w:val="26"/>
          <w:szCs w:val="26"/>
        </w:rPr>
      </w:pPr>
      <w:r w:rsidRPr="002E3E09">
        <w:rPr>
          <w:rFonts w:asciiTheme="minorHAnsi" w:hAnsiTheme="minorHAnsi" w:cstheme="minorHAnsi"/>
          <w:b/>
          <w:iCs/>
          <w:sz w:val="26"/>
          <w:szCs w:val="26"/>
        </w:rPr>
        <w:t xml:space="preserve">Step </w:t>
      </w:r>
      <w:r w:rsidR="000225FA" w:rsidRPr="002E3E09">
        <w:rPr>
          <w:rFonts w:asciiTheme="minorHAnsi" w:hAnsiTheme="minorHAnsi" w:cstheme="minorHAnsi"/>
          <w:b/>
          <w:iCs/>
          <w:sz w:val="26"/>
          <w:szCs w:val="26"/>
        </w:rPr>
        <w:t>3</w:t>
      </w:r>
      <w:r w:rsidRPr="002E3E09">
        <w:rPr>
          <w:rFonts w:asciiTheme="minorHAnsi" w:hAnsiTheme="minorHAnsi" w:cstheme="minorHAnsi"/>
          <w:b/>
          <w:iCs/>
          <w:sz w:val="26"/>
          <w:szCs w:val="26"/>
        </w:rPr>
        <w:t>.</w:t>
      </w:r>
      <w:r w:rsidRPr="002E3E09">
        <w:rPr>
          <w:rFonts w:asciiTheme="minorHAnsi" w:hAnsiTheme="minorHAnsi" w:cstheme="minorHAnsi"/>
          <w:iCs/>
          <w:sz w:val="26"/>
          <w:szCs w:val="26"/>
        </w:rPr>
        <w:t xml:space="preserve">  </w:t>
      </w:r>
      <w:r w:rsidR="00604205">
        <w:rPr>
          <w:rFonts w:asciiTheme="minorHAnsi" w:hAnsiTheme="minorHAnsi" w:cstheme="minorHAnsi"/>
          <w:b/>
          <w:bCs/>
          <w:sz w:val="26"/>
          <w:szCs w:val="26"/>
        </w:rPr>
        <w:t xml:space="preserve">Amend </w:t>
      </w:r>
      <w:r w:rsidR="00380C40">
        <w:rPr>
          <w:rFonts w:asciiTheme="minorHAnsi" w:hAnsiTheme="minorHAnsi" w:cstheme="minorHAnsi"/>
          <w:b/>
          <w:bCs/>
          <w:sz w:val="26"/>
          <w:szCs w:val="26"/>
        </w:rPr>
        <w:t>Part 2.5</w:t>
      </w:r>
      <w:r w:rsidR="00604205">
        <w:rPr>
          <w:rFonts w:asciiTheme="minorHAnsi" w:hAnsiTheme="minorHAnsi" w:cstheme="minorHAnsi"/>
          <w:b/>
          <w:bCs/>
          <w:sz w:val="26"/>
          <w:szCs w:val="26"/>
        </w:rPr>
        <w:t xml:space="preserve"> (1- and 2-family dwellings and townhouses less than three stories). </w:t>
      </w:r>
      <w:r w:rsidR="00604205">
        <w:rPr>
          <w:rFonts w:asciiTheme="minorHAnsi" w:hAnsiTheme="minorHAnsi" w:cstheme="minorHAnsi"/>
          <w:sz w:val="26"/>
          <w:szCs w:val="26"/>
        </w:rPr>
        <w:t>Add a section to the ordinance that adopts local amendments to</w:t>
      </w:r>
      <w:r w:rsidR="00380C40">
        <w:rPr>
          <w:rFonts w:asciiTheme="minorHAnsi" w:hAnsiTheme="minorHAnsi" w:cstheme="minorHAnsi"/>
          <w:sz w:val="26"/>
          <w:szCs w:val="26"/>
        </w:rPr>
        <w:t xml:space="preserve"> Part 2.5</w:t>
      </w:r>
      <w:r w:rsidR="00604205">
        <w:rPr>
          <w:rFonts w:asciiTheme="minorHAnsi" w:hAnsiTheme="minorHAnsi" w:cstheme="minorHAnsi"/>
          <w:sz w:val="26"/>
          <w:szCs w:val="26"/>
        </w:rPr>
        <w:t>.  To make the changes discernable, maintain strikethrough and underlining.</w:t>
      </w:r>
    </w:p>
    <w:p w14:paraId="3694A02E" w14:textId="77777777" w:rsidR="003A6C97" w:rsidRPr="002E3E09" w:rsidRDefault="003A6C97" w:rsidP="00F00B45">
      <w:pPr>
        <w:rPr>
          <w:rFonts w:asciiTheme="minorHAnsi" w:hAnsiTheme="minorHAnsi" w:cstheme="minorHAnsi"/>
          <w:iCs/>
          <w:sz w:val="26"/>
          <w:szCs w:val="26"/>
        </w:rPr>
      </w:pPr>
    </w:p>
    <w:tbl>
      <w:tblPr>
        <w:tblStyle w:val="TableGrid"/>
        <w:tblW w:w="0" w:type="auto"/>
        <w:tblInd w:w="738" w:type="dxa"/>
        <w:tblLook w:val="04A0" w:firstRow="1" w:lastRow="0" w:firstColumn="1" w:lastColumn="0" w:noHBand="0" w:noVBand="1"/>
      </w:tblPr>
      <w:tblGrid>
        <w:gridCol w:w="8370"/>
      </w:tblGrid>
      <w:tr w:rsidR="008051C9" w14:paraId="0ABAEBDD" w14:textId="77777777" w:rsidTr="003A6C97">
        <w:tc>
          <w:tcPr>
            <w:tcW w:w="8370" w:type="dxa"/>
          </w:tcPr>
          <w:p w14:paraId="7FAB2767" w14:textId="77777777" w:rsidR="00604205" w:rsidRDefault="00604205" w:rsidP="009F2B59">
            <w:pPr>
              <w:widowControl/>
              <w:rPr>
                <w:rFonts w:ascii="Arial" w:hAnsi="Arial" w:cs="Arial"/>
                <w:bCs/>
                <w:i/>
                <w:iCs/>
                <w:sz w:val="22"/>
                <w:szCs w:val="22"/>
              </w:rPr>
            </w:pPr>
          </w:p>
          <w:p w14:paraId="07DF91FA" w14:textId="5F6D98DA" w:rsidR="009F2B59" w:rsidRPr="001F35E8" w:rsidRDefault="00380C40" w:rsidP="009F2B59">
            <w:pPr>
              <w:widowControl/>
              <w:rPr>
                <w:rFonts w:ascii="Arial" w:hAnsi="Arial" w:cs="Arial"/>
                <w:b/>
                <w:i/>
                <w:sz w:val="22"/>
                <w:szCs w:val="22"/>
              </w:rPr>
            </w:pPr>
            <w:r>
              <w:rPr>
                <w:rFonts w:ascii="Arial" w:hAnsi="Arial" w:cs="Arial"/>
                <w:bCs/>
                <w:i/>
                <w:iCs/>
                <w:sz w:val="22"/>
                <w:szCs w:val="22"/>
              </w:rPr>
              <w:t xml:space="preserve">CCR Title 24, Part 2.5, </w:t>
            </w:r>
            <w:r w:rsidR="00604205">
              <w:rPr>
                <w:rFonts w:ascii="Arial" w:hAnsi="Arial" w:cs="Arial"/>
                <w:bCs/>
                <w:i/>
                <w:iCs/>
                <w:sz w:val="22"/>
                <w:szCs w:val="22"/>
              </w:rPr>
              <w:t>Section R322.2.2 is hereby amended as follows:</w:t>
            </w:r>
            <w:r w:rsidR="009F2B59">
              <w:rPr>
                <w:rFonts w:ascii="Arial" w:hAnsi="Arial" w:cs="Arial"/>
                <w:b/>
                <w:sz w:val="22"/>
                <w:szCs w:val="22"/>
              </w:rPr>
              <w:t xml:space="preserve"> </w:t>
            </w:r>
          </w:p>
          <w:p w14:paraId="45518928" w14:textId="77777777" w:rsidR="008051C9" w:rsidRDefault="008051C9" w:rsidP="008051C9">
            <w:pPr>
              <w:ind w:left="360"/>
              <w:rPr>
                <w:rFonts w:ascii="Times New Roman" w:hAnsi="Times New Roman"/>
                <w:i/>
                <w:sz w:val="24"/>
                <w:szCs w:val="24"/>
              </w:rPr>
            </w:pPr>
          </w:p>
          <w:p w14:paraId="0378B9F5" w14:textId="77777777" w:rsidR="00DC60B7" w:rsidRPr="00B72E00" w:rsidRDefault="00DC60B7" w:rsidP="00DC60B7">
            <w:pPr>
              <w:ind w:left="360"/>
              <w:rPr>
                <w:rFonts w:ascii="Arial" w:hAnsi="Arial" w:cs="Arial"/>
                <w:sz w:val="22"/>
                <w:szCs w:val="22"/>
              </w:rPr>
            </w:pPr>
            <w:r w:rsidRPr="00B72E00">
              <w:rPr>
                <w:rFonts w:ascii="Arial" w:hAnsi="Arial" w:cs="Arial"/>
                <w:b/>
                <w:sz w:val="22"/>
                <w:szCs w:val="22"/>
              </w:rPr>
              <w:t>R322.2.2 Enclosed area below design flood elevation.</w:t>
            </w:r>
            <w:r w:rsidRPr="00B72E00">
              <w:rPr>
                <w:rFonts w:ascii="Arial" w:hAnsi="Arial" w:cs="Arial"/>
                <w:sz w:val="22"/>
                <w:szCs w:val="22"/>
              </w:rPr>
              <w:t xml:space="preserve"> Enclosed areas, including crawl spaces, that are below the design flood elevation shall:</w:t>
            </w:r>
          </w:p>
          <w:p w14:paraId="4982B043" w14:textId="77777777" w:rsidR="00DC60B7" w:rsidRPr="00B72E00" w:rsidRDefault="00DC60B7" w:rsidP="00DC60B7">
            <w:pPr>
              <w:pStyle w:val="ListParagraph"/>
              <w:widowControl/>
              <w:numPr>
                <w:ilvl w:val="0"/>
                <w:numId w:val="26"/>
              </w:numPr>
              <w:ind w:left="1080"/>
              <w:rPr>
                <w:rFonts w:ascii="Arial" w:hAnsi="Arial" w:cs="Arial"/>
                <w:sz w:val="22"/>
                <w:szCs w:val="22"/>
              </w:rPr>
            </w:pPr>
            <w:r w:rsidRPr="00B72E00">
              <w:rPr>
                <w:rFonts w:ascii="Arial" w:hAnsi="Arial" w:cs="Arial"/>
                <w:sz w:val="22"/>
                <w:szCs w:val="22"/>
              </w:rPr>
              <w:t>Be used solely for parking of vehicles, building access or storage.</w:t>
            </w:r>
          </w:p>
          <w:p w14:paraId="35B0E663" w14:textId="77777777" w:rsidR="00DC60B7" w:rsidRDefault="00DC60B7" w:rsidP="00DC60B7">
            <w:pPr>
              <w:pStyle w:val="ListParagraph"/>
              <w:widowControl/>
              <w:numPr>
                <w:ilvl w:val="0"/>
                <w:numId w:val="26"/>
              </w:numPr>
              <w:ind w:left="1080"/>
              <w:rPr>
                <w:rFonts w:ascii="Arial" w:hAnsi="Arial" w:cs="Arial"/>
                <w:sz w:val="22"/>
                <w:szCs w:val="22"/>
              </w:rPr>
            </w:pPr>
            <w:r w:rsidRPr="00B72E00">
              <w:rPr>
                <w:rFonts w:ascii="Arial" w:hAnsi="Arial" w:cs="Arial"/>
                <w:sz w:val="22"/>
                <w:szCs w:val="22"/>
              </w:rPr>
              <w:t xml:space="preserve">Be provided with flood openings that meet the following criteria and are installed in accordance with Section R322.2.2.1: </w:t>
            </w:r>
          </w:p>
          <w:p w14:paraId="5E833AF4" w14:textId="77777777" w:rsidR="00DC60B7" w:rsidRPr="00B72E00" w:rsidRDefault="00DC60B7" w:rsidP="00DC60B7">
            <w:pPr>
              <w:ind w:left="1080"/>
              <w:rPr>
                <w:rFonts w:ascii="Arial" w:hAnsi="Arial" w:cs="Arial"/>
                <w:sz w:val="22"/>
                <w:szCs w:val="22"/>
              </w:rPr>
            </w:pPr>
            <w:r w:rsidRPr="00B72E00">
              <w:rPr>
                <w:rFonts w:ascii="Arial" w:hAnsi="Arial" w:cs="Arial"/>
                <w:sz w:val="22"/>
                <w:szCs w:val="22"/>
              </w:rPr>
              <w:t>2.1. The total net area of nonengineered openings shall be not less than 1 square inch (645 mm</w:t>
            </w:r>
            <w:r w:rsidRPr="00B72E00">
              <w:rPr>
                <w:rFonts w:ascii="Arial" w:hAnsi="Arial" w:cs="Arial"/>
                <w:sz w:val="22"/>
                <w:szCs w:val="22"/>
                <w:vertAlign w:val="superscript"/>
              </w:rPr>
              <w:t>2</w:t>
            </w:r>
            <w:r w:rsidRPr="00B72E00">
              <w:rPr>
                <w:rFonts w:ascii="Arial" w:hAnsi="Arial" w:cs="Arial"/>
                <w:sz w:val="22"/>
                <w:szCs w:val="22"/>
              </w:rPr>
              <w:t>) for each square foot (0.093 m</w:t>
            </w:r>
            <w:r w:rsidRPr="00B72E00">
              <w:rPr>
                <w:rFonts w:ascii="Arial" w:hAnsi="Arial" w:cs="Arial"/>
                <w:sz w:val="22"/>
                <w:szCs w:val="22"/>
                <w:vertAlign w:val="superscript"/>
              </w:rPr>
              <w:t>2</w:t>
            </w:r>
            <w:r w:rsidRPr="00B72E00">
              <w:rPr>
                <w:rFonts w:ascii="Arial" w:hAnsi="Arial" w:cs="Arial"/>
                <w:sz w:val="22"/>
                <w:szCs w:val="22"/>
              </w:rPr>
              <w:t xml:space="preserve">) of enclosed area where the enclosed area is measured on the exterior of the enclosure walls, or the openings shall be designed as engineered openings and the construction documents shall include a statement by a registered design professional that the design of the openings will provide for equalization of hydrostatic flood forces on exterior walls by allowing for the automatic entry and exit of floodwaters as specified in </w:t>
            </w:r>
            <w:r w:rsidRPr="00B72E00">
              <w:rPr>
                <w:rFonts w:ascii="Arial" w:hAnsi="Arial" w:cs="Arial"/>
                <w:sz w:val="22"/>
                <w:szCs w:val="22"/>
              </w:rPr>
              <w:lastRenderedPageBreak/>
              <w:t xml:space="preserve">Section 2.7.2.2 of ASCE 24.  </w:t>
            </w:r>
          </w:p>
          <w:p w14:paraId="6B799E6B" w14:textId="77777777" w:rsidR="00DC60B7" w:rsidRPr="00B72E00" w:rsidRDefault="00DC60B7" w:rsidP="00DC60B7">
            <w:pPr>
              <w:ind w:left="1080"/>
              <w:rPr>
                <w:rFonts w:ascii="Arial" w:hAnsi="Arial" w:cs="Arial"/>
                <w:sz w:val="22"/>
                <w:szCs w:val="22"/>
              </w:rPr>
            </w:pPr>
            <w:r w:rsidRPr="00B72E00">
              <w:rPr>
                <w:rFonts w:ascii="Arial" w:hAnsi="Arial" w:cs="Arial"/>
                <w:sz w:val="22"/>
                <w:szCs w:val="22"/>
              </w:rPr>
              <w:t xml:space="preserve">2.2. Openings shall be not less than 3 inches (76 mm) in any direction in the plane of the wall. </w:t>
            </w:r>
          </w:p>
          <w:p w14:paraId="33BF71C6" w14:textId="77777777" w:rsidR="00DC60B7" w:rsidRPr="00B72E00" w:rsidRDefault="00DC60B7" w:rsidP="00DC60B7">
            <w:pPr>
              <w:ind w:left="1080"/>
              <w:rPr>
                <w:rFonts w:ascii="Arial" w:hAnsi="Arial" w:cs="Arial"/>
                <w:sz w:val="22"/>
                <w:szCs w:val="22"/>
              </w:rPr>
            </w:pPr>
            <w:r w:rsidRPr="00B72E00">
              <w:rPr>
                <w:rFonts w:ascii="Arial" w:hAnsi="Arial" w:cs="Arial"/>
                <w:sz w:val="22"/>
                <w:szCs w:val="22"/>
              </w:rPr>
              <w:t xml:space="preserve">2.3 The presence of louvers, blades, screens and faceplates or other covers and devices shall allow the automatic flow of floodwater into and out of the enclosed areas and shall be accounted for in the determination of the net open area.  </w:t>
            </w:r>
          </w:p>
          <w:p w14:paraId="2376021E" w14:textId="21E2A505" w:rsidR="00D55A4A" w:rsidRPr="00DC60B7" w:rsidRDefault="00E06DB4" w:rsidP="00DC60B7">
            <w:pPr>
              <w:pStyle w:val="ListParagraph"/>
              <w:widowControl/>
              <w:numPr>
                <w:ilvl w:val="0"/>
                <w:numId w:val="26"/>
              </w:numPr>
              <w:ind w:left="1080"/>
              <w:rPr>
                <w:rFonts w:ascii="Arial" w:hAnsi="Arial" w:cs="Arial"/>
                <w:sz w:val="22"/>
                <w:szCs w:val="22"/>
              </w:rPr>
            </w:pPr>
            <w:r w:rsidRPr="00DC60B7">
              <w:rPr>
                <w:rFonts w:ascii="Arial" w:hAnsi="Arial" w:cs="Arial"/>
                <w:sz w:val="22"/>
                <w:szCs w:val="22"/>
                <w:u w:val="single"/>
              </w:rPr>
              <w:t xml:space="preserve">Be not more than </w:t>
            </w:r>
            <w:r w:rsidRPr="00DC60B7">
              <w:rPr>
                <w:rFonts w:ascii="Arial" w:hAnsi="Arial" w:cs="Arial"/>
                <w:b/>
                <w:sz w:val="22"/>
                <w:szCs w:val="22"/>
                <w:u w:val="single"/>
              </w:rPr>
              <w:t>{insert number}</w:t>
            </w:r>
            <w:r w:rsidRPr="00DC60B7">
              <w:rPr>
                <w:rFonts w:ascii="Arial" w:hAnsi="Arial" w:cs="Arial"/>
                <w:sz w:val="22"/>
                <w:szCs w:val="22"/>
                <w:u w:val="single"/>
              </w:rPr>
              <w:t xml:space="preserve"> square feet in area, except for crawlspace foundations that have a wall height less than </w:t>
            </w:r>
            <w:r w:rsidRPr="00DC60B7">
              <w:rPr>
                <w:rFonts w:ascii="Arial" w:hAnsi="Arial" w:cs="Arial"/>
                <w:b/>
                <w:sz w:val="22"/>
                <w:szCs w:val="22"/>
                <w:u w:val="single"/>
              </w:rPr>
              <w:t>{insert number}</w:t>
            </w:r>
            <w:r w:rsidRPr="00DC60B7">
              <w:rPr>
                <w:rFonts w:ascii="Arial" w:hAnsi="Arial" w:cs="Arial"/>
                <w:sz w:val="22"/>
                <w:szCs w:val="22"/>
                <w:u w:val="single"/>
              </w:rPr>
              <w:t xml:space="preserve"> feet.</w:t>
            </w:r>
          </w:p>
          <w:p w14:paraId="51998CC9" w14:textId="68C33285" w:rsidR="00E06DB4" w:rsidRPr="00D55A4A" w:rsidRDefault="00E06DB4" w:rsidP="00E06DB4">
            <w:pPr>
              <w:ind w:left="405"/>
              <w:rPr>
                <w:rFonts w:ascii="Arial" w:hAnsi="Arial" w:cs="Arial"/>
                <w:sz w:val="22"/>
                <w:szCs w:val="22"/>
                <w:u w:val="single"/>
              </w:rPr>
            </w:pPr>
          </w:p>
        </w:tc>
      </w:tr>
      <w:tr w:rsidR="00D55A4A" w14:paraId="0AEF433E" w14:textId="77777777" w:rsidTr="003A6C97">
        <w:tc>
          <w:tcPr>
            <w:tcW w:w="8370" w:type="dxa"/>
          </w:tcPr>
          <w:p w14:paraId="76E6CC85" w14:textId="77777777" w:rsidR="00E06DB4" w:rsidRDefault="00E06DB4" w:rsidP="00D55A4A">
            <w:pPr>
              <w:widowControl/>
              <w:ind w:left="405"/>
              <w:rPr>
                <w:rFonts w:ascii="Franklin Gothic Book" w:hAnsi="Franklin Gothic Book" w:cs="Arial"/>
                <w:b/>
                <w:bCs/>
              </w:rPr>
            </w:pPr>
          </w:p>
          <w:p w14:paraId="3B6A9402" w14:textId="0A8DCD13" w:rsidR="00AF5DBC" w:rsidRPr="001F35E8" w:rsidRDefault="00380C40" w:rsidP="00AF5DBC">
            <w:pPr>
              <w:widowControl/>
              <w:rPr>
                <w:rFonts w:ascii="Arial" w:hAnsi="Arial" w:cs="Arial"/>
                <w:b/>
                <w:i/>
                <w:sz w:val="22"/>
                <w:szCs w:val="22"/>
              </w:rPr>
            </w:pPr>
            <w:r>
              <w:rPr>
                <w:rFonts w:ascii="Arial" w:hAnsi="Arial" w:cs="Arial"/>
                <w:bCs/>
                <w:i/>
                <w:iCs/>
                <w:sz w:val="22"/>
                <w:szCs w:val="22"/>
              </w:rPr>
              <w:t xml:space="preserve">CCR Title 24, Part 2.5, </w:t>
            </w:r>
            <w:r w:rsidR="00AF5DBC">
              <w:rPr>
                <w:rFonts w:ascii="Arial" w:hAnsi="Arial" w:cs="Arial"/>
                <w:bCs/>
                <w:i/>
                <w:iCs/>
                <w:sz w:val="22"/>
                <w:szCs w:val="22"/>
              </w:rPr>
              <w:t>Section R322.3.5 is hereby amended as follows:</w:t>
            </w:r>
            <w:r w:rsidR="00AF5DBC">
              <w:rPr>
                <w:rFonts w:ascii="Arial" w:hAnsi="Arial" w:cs="Arial"/>
                <w:b/>
                <w:sz w:val="22"/>
                <w:szCs w:val="22"/>
              </w:rPr>
              <w:t xml:space="preserve"> </w:t>
            </w:r>
          </w:p>
          <w:p w14:paraId="02BCDD88" w14:textId="77777777" w:rsidR="00AF5DBC" w:rsidRDefault="00AF5DBC" w:rsidP="00D55A4A">
            <w:pPr>
              <w:widowControl/>
              <w:ind w:left="405"/>
              <w:rPr>
                <w:rFonts w:ascii="Arial" w:hAnsi="Arial" w:cs="Arial"/>
                <w:b/>
                <w:bCs/>
                <w:sz w:val="22"/>
                <w:szCs w:val="22"/>
              </w:rPr>
            </w:pPr>
          </w:p>
          <w:p w14:paraId="321B5C09" w14:textId="77777777" w:rsidR="00604205" w:rsidRDefault="00E06DB4" w:rsidP="00D55A4A">
            <w:pPr>
              <w:widowControl/>
              <w:ind w:left="405"/>
              <w:rPr>
                <w:rFonts w:ascii="Arial" w:hAnsi="Arial" w:cs="Arial"/>
                <w:sz w:val="22"/>
                <w:szCs w:val="22"/>
                <w:u w:val="single"/>
              </w:rPr>
            </w:pPr>
            <w:r w:rsidRPr="00E06DB4">
              <w:rPr>
                <w:rFonts w:ascii="Arial" w:hAnsi="Arial" w:cs="Arial"/>
                <w:b/>
                <w:bCs/>
                <w:sz w:val="22"/>
                <w:szCs w:val="22"/>
              </w:rPr>
              <w:t>R322.3.5 Enclosed areas below design flood elevation.</w:t>
            </w:r>
            <w:r w:rsidRPr="00E06DB4">
              <w:rPr>
                <w:rFonts w:ascii="Arial" w:hAnsi="Arial" w:cs="Arial"/>
                <w:sz w:val="22"/>
                <w:szCs w:val="22"/>
              </w:rPr>
              <w:t xml:space="preserve"> Enclosed areas below the design flood elevation shall be </w:t>
            </w:r>
            <w:r w:rsidRPr="00604205">
              <w:rPr>
                <w:rFonts w:ascii="Arial" w:hAnsi="Arial" w:cs="Arial"/>
                <w:sz w:val="22"/>
                <w:szCs w:val="22"/>
                <w:u w:val="single"/>
              </w:rPr>
              <w:t xml:space="preserve">not more than </w:t>
            </w:r>
          </w:p>
          <w:p w14:paraId="4C7CCAA7" w14:textId="589A4A25" w:rsidR="00D55A4A" w:rsidRPr="00E06DB4" w:rsidRDefault="00E06DB4" w:rsidP="00D55A4A">
            <w:pPr>
              <w:widowControl/>
              <w:ind w:left="405"/>
              <w:rPr>
                <w:rFonts w:ascii="Arial" w:hAnsi="Arial" w:cs="Arial"/>
                <w:sz w:val="22"/>
                <w:szCs w:val="22"/>
              </w:rPr>
            </w:pPr>
            <w:r w:rsidRPr="00604205">
              <w:rPr>
                <w:rFonts w:ascii="Arial" w:hAnsi="Arial" w:cs="Arial"/>
                <w:b/>
                <w:bCs/>
                <w:sz w:val="22"/>
                <w:szCs w:val="22"/>
                <w:u w:val="single"/>
              </w:rPr>
              <w:t>{insert number}</w:t>
            </w:r>
            <w:r w:rsidRPr="00E06DB4">
              <w:rPr>
                <w:rFonts w:ascii="Arial" w:hAnsi="Arial" w:cs="Arial"/>
                <w:sz w:val="22"/>
                <w:szCs w:val="22"/>
                <w:u w:val="single"/>
              </w:rPr>
              <w:t xml:space="preserve"> square feet in area unless enclosed by insect screening or lattice, and shall be</w:t>
            </w:r>
            <w:r w:rsidRPr="00E06DB4">
              <w:rPr>
                <w:rFonts w:ascii="Arial" w:hAnsi="Arial" w:cs="Arial"/>
                <w:sz w:val="22"/>
                <w:szCs w:val="22"/>
              </w:rPr>
              <w:t xml:space="preserve"> used solely for parking of vehicles, building access or storage.</w:t>
            </w:r>
          </w:p>
          <w:p w14:paraId="57FC73B1" w14:textId="0F410580" w:rsidR="00E06DB4" w:rsidRDefault="00E06DB4" w:rsidP="00D55A4A">
            <w:pPr>
              <w:widowControl/>
              <w:ind w:left="405"/>
              <w:rPr>
                <w:rFonts w:ascii="Arial" w:hAnsi="Arial" w:cs="Arial"/>
                <w:b/>
                <w:sz w:val="22"/>
                <w:szCs w:val="22"/>
              </w:rPr>
            </w:pPr>
          </w:p>
        </w:tc>
      </w:tr>
    </w:tbl>
    <w:p w14:paraId="6D87D5AE" w14:textId="77777777" w:rsidR="002E3E09" w:rsidRPr="002E3E09" w:rsidRDefault="002E3E09" w:rsidP="0093485F">
      <w:pPr>
        <w:widowControl/>
        <w:spacing w:before="120" w:after="120"/>
        <w:rPr>
          <w:rFonts w:asciiTheme="minorHAnsi" w:hAnsiTheme="minorHAnsi" w:cstheme="minorHAnsi"/>
          <w:i/>
          <w:iCs/>
          <w:sz w:val="28"/>
          <w:szCs w:val="28"/>
        </w:rPr>
      </w:pPr>
    </w:p>
    <w:sectPr w:rsidR="002E3E09" w:rsidRPr="002E3E09"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DD35" w14:textId="77777777" w:rsidR="00AA6021" w:rsidRDefault="00AA6021" w:rsidP="00273EEE">
      <w:r>
        <w:separator/>
      </w:r>
    </w:p>
  </w:endnote>
  <w:endnote w:type="continuationSeparator" w:id="0">
    <w:p w14:paraId="059881BD" w14:textId="77777777" w:rsidR="00AA6021" w:rsidRDefault="00AA6021"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26A8A2D2" w:rsidR="00273EEE" w:rsidRPr="00273EEE" w:rsidRDefault="00273EEE">
    <w:pPr>
      <w:pStyle w:val="Footer"/>
      <w:rPr>
        <w:rFonts w:ascii="Arial" w:hAnsi="Arial" w:cs="Arial"/>
      </w:rPr>
    </w:pPr>
    <w:r>
      <w:rPr>
        <w:rFonts w:ascii="Arial" w:hAnsi="Arial" w:cs="Arial"/>
      </w:rPr>
      <w:t xml:space="preserve">Higher Standard: </w:t>
    </w:r>
    <w:r w:rsidR="009F098A">
      <w:rPr>
        <w:rFonts w:ascii="Arial" w:hAnsi="Arial" w:cs="Arial"/>
        <w:i/>
      </w:rPr>
      <w:t xml:space="preserve"> </w:t>
    </w:r>
    <w:r w:rsidR="009F098A" w:rsidRPr="00604205">
      <w:rPr>
        <w:rFonts w:ascii="Arial" w:hAnsi="Arial" w:cs="Arial"/>
        <w:iCs/>
      </w:rPr>
      <w:t>Limit Size of Enclosures</w:t>
    </w:r>
    <w:r w:rsidR="009F098A">
      <w:rPr>
        <w:rFonts w:ascii="Arial" w:hAnsi="Arial" w:cs="Arial"/>
        <w:i/>
      </w:rPr>
      <w:t xml:space="preserve"> </w:t>
    </w:r>
    <w:r w:rsidR="0013591C" w:rsidRPr="005624E0">
      <w:rPr>
        <w:rFonts w:ascii="Arial" w:hAnsi="Arial" w:cs="Arial"/>
      </w:rPr>
      <w:t>(</w:t>
    </w:r>
    <w:r w:rsidR="004A104F">
      <w:rPr>
        <w:rFonts w:ascii="Arial" w:hAnsi="Arial" w:cs="Arial"/>
      </w:rPr>
      <w:t>August</w:t>
    </w:r>
    <w:r w:rsidR="00380C40">
      <w:rPr>
        <w:rFonts w:ascii="Arial" w:hAnsi="Arial" w:cs="Arial"/>
      </w:rPr>
      <w:t xml:space="preserve"> 2020</w:t>
    </w:r>
    <w:r w:rsidR="009F2B59">
      <w:rPr>
        <w:rFonts w:ascii="Arial" w:hAnsi="Arial" w:cs="Arial"/>
      </w:rPr>
      <w:t>)</w:t>
    </w:r>
    <w:r w:rsidR="00604205">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3C3891">
      <w:rPr>
        <w:rFonts w:ascii="Arial" w:hAnsi="Arial" w:cs="Arial"/>
        <w:noProof/>
      </w:rPr>
      <w:t>4</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C77F" w14:textId="77777777" w:rsidR="00AA6021" w:rsidRDefault="00AA6021" w:rsidP="00273EEE">
      <w:r>
        <w:separator/>
      </w:r>
    </w:p>
  </w:footnote>
  <w:footnote w:type="continuationSeparator" w:id="0">
    <w:p w14:paraId="78F9B889" w14:textId="77777777" w:rsidR="00AA6021" w:rsidRDefault="00AA6021" w:rsidP="00273EEE">
      <w:r>
        <w:continuationSeparator/>
      </w:r>
    </w:p>
  </w:footnote>
  <w:footnote w:id="1">
    <w:p w14:paraId="0A74BC6D" w14:textId="77777777" w:rsidR="002E3E09" w:rsidRDefault="002E3E09" w:rsidP="002E3E09">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099"/>
    <w:multiLevelType w:val="hybridMultilevel"/>
    <w:tmpl w:val="B59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57DD5"/>
    <w:multiLevelType w:val="hybridMultilevel"/>
    <w:tmpl w:val="2F564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D7BE1"/>
    <w:multiLevelType w:val="hybridMultilevel"/>
    <w:tmpl w:val="4D564F12"/>
    <w:lvl w:ilvl="0" w:tplc="EFEA87D8">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B37E7"/>
    <w:multiLevelType w:val="hybridMultilevel"/>
    <w:tmpl w:val="421A3B0E"/>
    <w:lvl w:ilvl="0" w:tplc="C66EE5CC">
      <w:numFmt w:val="bullet"/>
      <w:lvlText w:val="•"/>
      <w:lvlJc w:val="left"/>
      <w:pPr>
        <w:ind w:left="990" w:hanging="360"/>
      </w:pPr>
      <w:rPr>
        <w:rFonts w:ascii="Calibri" w:eastAsia="Times New Roman"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4239A6"/>
    <w:multiLevelType w:val="hybridMultilevel"/>
    <w:tmpl w:val="C5F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67957DE3"/>
    <w:multiLevelType w:val="hybridMultilevel"/>
    <w:tmpl w:val="6CE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5"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4"/>
  </w:num>
  <w:num w:numId="4">
    <w:abstractNumId w:val="23"/>
  </w:num>
  <w:num w:numId="5">
    <w:abstractNumId w:val="10"/>
  </w:num>
  <w:num w:numId="6">
    <w:abstractNumId w:val="15"/>
  </w:num>
  <w:num w:numId="7">
    <w:abstractNumId w:val="25"/>
  </w:num>
  <w:num w:numId="8">
    <w:abstractNumId w:val="8"/>
  </w:num>
  <w:num w:numId="9">
    <w:abstractNumId w:val="12"/>
  </w:num>
  <w:num w:numId="10">
    <w:abstractNumId w:val="4"/>
  </w:num>
  <w:num w:numId="11">
    <w:abstractNumId w:val="9"/>
  </w:num>
  <w:num w:numId="12">
    <w:abstractNumId w:val="19"/>
  </w:num>
  <w:num w:numId="13">
    <w:abstractNumId w:val="18"/>
  </w:num>
  <w:num w:numId="14">
    <w:abstractNumId w:val="20"/>
  </w:num>
  <w:num w:numId="15">
    <w:abstractNumId w:val="22"/>
  </w:num>
  <w:num w:numId="16">
    <w:abstractNumId w:val="3"/>
  </w:num>
  <w:num w:numId="17">
    <w:abstractNumId w:val="2"/>
  </w:num>
  <w:num w:numId="18">
    <w:abstractNumId w:val="7"/>
  </w:num>
  <w:num w:numId="19">
    <w:abstractNumId w:val="16"/>
  </w:num>
  <w:num w:numId="20">
    <w:abstractNumId w:val="13"/>
  </w:num>
  <w:num w:numId="21">
    <w:abstractNumId w:val="21"/>
  </w:num>
  <w:num w:numId="22">
    <w:abstractNumId w:val="5"/>
  </w:num>
  <w:num w:numId="23">
    <w:abstractNumId w:val="17"/>
  </w:num>
  <w:num w:numId="24">
    <w:abstractNumId w:val="1"/>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734FA"/>
    <w:rsid w:val="00073D73"/>
    <w:rsid w:val="00075DED"/>
    <w:rsid w:val="00076A36"/>
    <w:rsid w:val="000957F2"/>
    <w:rsid w:val="000A3BDC"/>
    <w:rsid w:val="000E170E"/>
    <w:rsid w:val="000E52C7"/>
    <w:rsid w:val="0010418B"/>
    <w:rsid w:val="0013591C"/>
    <w:rsid w:val="001443C4"/>
    <w:rsid w:val="00145EEB"/>
    <w:rsid w:val="00155875"/>
    <w:rsid w:val="00160F6B"/>
    <w:rsid w:val="001A0A51"/>
    <w:rsid w:val="001C7F5A"/>
    <w:rsid w:val="001D289D"/>
    <w:rsid w:val="001E3F2C"/>
    <w:rsid w:val="001E49A9"/>
    <w:rsid w:val="001F16E0"/>
    <w:rsid w:val="001F2688"/>
    <w:rsid w:val="001F317D"/>
    <w:rsid w:val="00207439"/>
    <w:rsid w:val="00212BA0"/>
    <w:rsid w:val="00213A1D"/>
    <w:rsid w:val="00213C3C"/>
    <w:rsid w:val="00221D55"/>
    <w:rsid w:val="00227DE4"/>
    <w:rsid w:val="00233FD0"/>
    <w:rsid w:val="00241056"/>
    <w:rsid w:val="002414FB"/>
    <w:rsid w:val="00243696"/>
    <w:rsid w:val="00250015"/>
    <w:rsid w:val="00255924"/>
    <w:rsid w:val="00256C74"/>
    <w:rsid w:val="002633E6"/>
    <w:rsid w:val="00265724"/>
    <w:rsid w:val="002675D7"/>
    <w:rsid w:val="00273EEE"/>
    <w:rsid w:val="00277B0C"/>
    <w:rsid w:val="002872ED"/>
    <w:rsid w:val="002927D3"/>
    <w:rsid w:val="00294DF4"/>
    <w:rsid w:val="002A3DE1"/>
    <w:rsid w:val="002A6BDD"/>
    <w:rsid w:val="002C4F50"/>
    <w:rsid w:val="002C5760"/>
    <w:rsid w:val="002C6876"/>
    <w:rsid w:val="002C79CE"/>
    <w:rsid w:val="002C7B99"/>
    <w:rsid w:val="002D31EF"/>
    <w:rsid w:val="002D3791"/>
    <w:rsid w:val="002D57EA"/>
    <w:rsid w:val="002E0DB9"/>
    <w:rsid w:val="002E3BEE"/>
    <w:rsid w:val="002E3E09"/>
    <w:rsid w:val="002E6C20"/>
    <w:rsid w:val="002F54A3"/>
    <w:rsid w:val="00342B21"/>
    <w:rsid w:val="00343D8A"/>
    <w:rsid w:val="003505AC"/>
    <w:rsid w:val="003510BB"/>
    <w:rsid w:val="0036563E"/>
    <w:rsid w:val="00371A86"/>
    <w:rsid w:val="00376E24"/>
    <w:rsid w:val="00380C40"/>
    <w:rsid w:val="00383357"/>
    <w:rsid w:val="00397C44"/>
    <w:rsid w:val="003A660F"/>
    <w:rsid w:val="003A6C97"/>
    <w:rsid w:val="003C3801"/>
    <w:rsid w:val="003C3891"/>
    <w:rsid w:val="003D3DB4"/>
    <w:rsid w:val="003D4EFB"/>
    <w:rsid w:val="003D5F40"/>
    <w:rsid w:val="003D67F5"/>
    <w:rsid w:val="003E244E"/>
    <w:rsid w:val="003F2DBD"/>
    <w:rsid w:val="003F3865"/>
    <w:rsid w:val="004112CA"/>
    <w:rsid w:val="004118EA"/>
    <w:rsid w:val="00411D73"/>
    <w:rsid w:val="00415A3C"/>
    <w:rsid w:val="0043177A"/>
    <w:rsid w:val="00454FE7"/>
    <w:rsid w:val="00464FB6"/>
    <w:rsid w:val="00466CD4"/>
    <w:rsid w:val="00467D6B"/>
    <w:rsid w:val="00490D85"/>
    <w:rsid w:val="004A104F"/>
    <w:rsid w:val="004A215D"/>
    <w:rsid w:val="004B3031"/>
    <w:rsid w:val="004C44B8"/>
    <w:rsid w:val="004D0BF0"/>
    <w:rsid w:val="004D2D10"/>
    <w:rsid w:val="004E4F45"/>
    <w:rsid w:val="004F5009"/>
    <w:rsid w:val="004F6805"/>
    <w:rsid w:val="00502F06"/>
    <w:rsid w:val="00544777"/>
    <w:rsid w:val="00547A32"/>
    <w:rsid w:val="00552A37"/>
    <w:rsid w:val="005624E0"/>
    <w:rsid w:val="00571CED"/>
    <w:rsid w:val="005850DE"/>
    <w:rsid w:val="00586399"/>
    <w:rsid w:val="005A1CA9"/>
    <w:rsid w:val="005A2692"/>
    <w:rsid w:val="005C026D"/>
    <w:rsid w:val="005C0A44"/>
    <w:rsid w:val="005D41A2"/>
    <w:rsid w:val="005E4B40"/>
    <w:rsid w:val="005E7C6B"/>
    <w:rsid w:val="005F6538"/>
    <w:rsid w:val="00602446"/>
    <w:rsid w:val="00604205"/>
    <w:rsid w:val="00604491"/>
    <w:rsid w:val="0061390D"/>
    <w:rsid w:val="0061695B"/>
    <w:rsid w:val="0063282F"/>
    <w:rsid w:val="006436AB"/>
    <w:rsid w:val="0064517F"/>
    <w:rsid w:val="00651A2B"/>
    <w:rsid w:val="00661CA7"/>
    <w:rsid w:val="006716BB"/>
    <w:rsid w:val="00680D7D"/>
    <w:rsid w:val="00697451"/>
    <w:rsid w:val="006A6520"/>
    <w:rsid w:val="006B67DD"/>
    <w:rsid w:val="006B767D"/>
    <w:rsid w:val="006D2F30"/>
    <w:rsid w:val="006D7082"/>
    <w:rsid w:val="006D7118"/>
    <w:rsid w:val="00706812"/>
    <w:rsid w:val="00706CD4"/>
    <w:rsid w:val="00707D74"/>
    <w:rsid w:val="00710D0D"/>
    <w:rsid w:val="00715954"/>
    <w:rsid w:val="00720D79"/>
    <w:rsid w:val="00725C52"/>
    <w:rsid w:val="0075066E"/>
    <w:rsid w:val="00756CC3"/>
    <w:rsid w:val="00767D28"/>
    <w:rsid w:val="00784178"/>
    <w:rsid w:val="007A22BC"/>
    <w:rsid w:val="007A6764"/>
    <w:rsid w:val="007C0024"/>
    <w:rsid w:val="007C4C5A"/>
    <w:rsid w:val="007C6727"/>
    <w:rsid w:val="007D39D5"/>
    <w:rsid w:val="008040A2"/>
    <w:rsid w:val="008051C9"/>
    <w:rsid w:val="0080648C"/>
    <w:rsid w:val="008174C4"/>
    <w:rsid w:val="00822DA4"/>
    <w:rsid w:val="00831D95"/>
    <w:rsid w:val="00836A9A"/>
    <w:rsid w:val="0084585D"/>
    <w:rsid w:val="0085387F"/>
    <w:rsid w:val="00855D7B"/>
    <w:rsid w:val="00857BBD"/>
    <w:rsid w:val="00897708"/>
    <w:rsid w:val="008B5042"/>
    <w:rsid w:val="008D33A4"/>
    <w:rsid w:val="008D7B37"/>
    <w:rsid w:val="008E7D1A"/>
    <w:rsid w:val="008F0BD5"/>
    <w:rsid w:val="00927E2D"/>
    <w:rsid w:val="0093485F"/>
    <w:rsid w:val="00936481"/>
    <w:rsid w:val="0094244D"/>
    <w:rsid w:val="0095125C"/>
    <w:rsid w:val="00954EA8"/>
    <w:rsid w:val="00975AFF"/>
    <w:rsid w:val="009962C0"/>
    <w:rsid w:val="00997D92"/>
    <w:rsid w:val="009A4603"/>
    <w:rsid w:val="009A74DD"/>
    <w:rsid w:val="009B2E58"/>
    <w:rsid w:val="009C0043"/>
    <w:rsid w:val="009C5AE3"/>
    <w:rsid w:val="009D5E5A"/>
    <w:rsid w:val="009F098A"/>
    <w:rsid w:val="009F2B59"/>
    <w:rsid w:val="00A0620E"/>
    <w:rsid w:val="00A35F60"/>
    <w:rsid w:val="00A423B7"/>
    <w:rsid w:val="00A43454"/>
    <w:rsid w:val="00A53EFD"/>
    <w:rsid w:val="00A65FCE"/>
    <w:rsid w:val="00A8215D"/>
    <w:rsid w:val="00AA6021"/>
    <w:rsid w:val="00AD0C4D"/>
    <w:rsid w:val="00AD5EBB"/>
    <w:rsid w:val="00AE6ED4"/>
    <w:rsid w:val="00AF5DBC"/>
    <w:rsid w:val="00B00932"/>
    <w:rsid w:val="00B00C30"/>
    <w:rsid w:val="00B13135"/>
    <w:rsid w:val="00B21F95"/>
    <w:rsid w:val="00B2565D"/>
    <w:rsid w:val="00B25AD4"/>
    <w:rsid w:val="00B2638B"/>
    <w:rsid w:val="00B4006E"/>
    <w:rsid w:val="00B52528"/>
    <w:rsid w:val="00B61CDC"/>
    <w:rsid w:val="00B75958"/>
    <w:rsid w:val="00B777E7"/>
    <w:rsid w:val="00B9420F"/>
    <w:rsid w:val="00B95F79"/>
    <w:rsid w:val="00BA1D14"/>
    <w:rsid w:val="00BA29ED"/>
    <w:rsid w:val="00BB195B"/>
    <w:rsid w:val="00BB4AF1"/>
    <w:rsid w:val="00BB69F2"/>
    <w:rsid w:val="00BF3893"/>
    <w:rsid w:val="00C04D2B"/>
    <w:rsid w:val="00C054AE"/>
    <w:rsid w:val="00C058D8"/>
    <w:rsid w:val="00C22B44"/>
    <w:rsid w:val="00C2690C"/>
    <w:rsid w:val="00C3303D"/>
    <w:rsid w:val="00C33B8C"/>
    <w:rsid w:val="00C3424D"/>
    <w:rsid w:val="00C44018"/>
    <w:rsid w:val="00C66EFE"/>
    <w:rsid w:val="00C70A09"/>
    <w:rsid w:val="00C72E7B"/>
    <w:rsid w:val="00C76D56"/>
    <w:rsid w:val="00C922E3"/>
    <w:rsid w:val="00C960EC"/>
    <w:rsid w:val="00C96208"/>
    <w:rsid w:val="00CA2450"/>
    <w:rsid w:val="00CA6DF3"/>
    <w:rsid w:val="00CB1698"/>
    <w:rsid w:val="00CB2723"/>
    <w:rsid w:val="00CD2FB9"/>
    <w:rsid w:val="00CD7E49"/>
    <w:rsid w:val="00CE494B"/>
    <w:rsid w:val="00CF5408"/>
    <w:rsid w:val="00D043F9"/>
    <w:rsid w:val="00D4263B"/>
    <w:rsid w:val="00D51D60"/>
    <w:rsid w:val="00D55A4A"/>
    <w:rsid w:val="00D8176D"/>
    <w:rsid w:val="00D8522F"/>
    <w:rsid w:val="00DB3393"/>
    <w:rsid w:val="00DB6C00"/>
    <w:rsid w:val="00DB77C9"/>
    <w:rsid w:val="00DC01A6"/>
    <w:rsid w:val="00DC0C1A"/>
    <w:rsid w:val="00DC60B7"/>
    <w:rsid w:val="00E02465"/>
    <w:rsid w:val="00E06DB4"/>
    <w:rsid w:val="00E072B2"/>
    <w:rsid w:val="00E158BB"/>
    <w:rsid w:val="00E27EFC"/>
    <w:rsid w:val="00E3643A"/>
    <w:rsid w:val="00E43DBD"/>
    <w:rsid w:val="00E50F4F"/>
    <w:rsid w:val="00E57BD6"/>
    <w:rsid w:val="00E7430C"/>
    <w:rsid w:val="00E821F7"/>
    <w:rsid w:val="00E832A3"/>
    <w:rsid w:val="00EB3DD0"/>
    <w:rsid w:val="00EC23D2"/>
    <w:rsid w:val="00EC3F08"/>
    <w:rsid w:val="00ED7F00"/>
    <w:rsid w:val="00F00B45"/>
    <w:rsid w:val="00F049DD"/>
    <w:rsid w:val="00F1173D"/>
    <w:rsid w:val="00F132BC"/>
    <w:rsid w:val="00F13B0F"/>
    <w:rsid w:val="00F13F41"/>
    <w:rsid w:val="00F14205"/>
    <w:rsid w:val="00F14279"/>
    <w:rsid w:val="00F157CC"/>
    <w:rsid w:val="00F20500"/>
    <w:rsid w:val="00F32CA1"/>
    <w:rsid w:val="00F4079F"/>
    <w:rsid w:val="00F61785"/>
    <w:rsid w:val="00F703D8"/>
    <w:rsid w:val="00FB158B"/>
    <w:rsid w:val="00FB4F76"/>
    <w:rsid w:val="00FC283B"/>
    <w:rsid w:val="00FC3170"/>
    <w:rsid w:val="00FC6295"/>
    <w:rsid w:val="00FC7B4C"/>
    <w:rsid w:val="00FD0FE3"/>
    <w:rsid w:val="00FD1DE8"/>
    <w:rsid w:val="00FD5BFE"/>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character" w:styleId="UnresolvedMention">
    <w:name w:val="Unresolved Mention"/>
    <w:basedOn w:val="DefaultParagraphFont"/>
    <w:uiPriority w:val="99"/>
    <w:semiHidden/>
    <w:unhideWhenUsed/>
    <w:rsid w:val="004A1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 w:id="21206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8B81-350A-4808-B3D6-4B42B7E4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RCQuinn</dc:creator>
  <cp:lastModifiedBy>Nikki</cp:lastModifiedBy>
  <cp:revision>3</cp:revision>
  <dcterms:created xsi:type="dcterms:W3CDTF">2021-05-06T06:53:00Z</dcterms:created>
  <dcterms:modified xsi:type="dcterms:W3CDTF">2021-05-06T15:00:00Z</dcterms:modified>
</cp:coreProperties>
</file>