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30263" w14:textId="557F8EED" w:rsidR="00616792" w:rsidRPr="00BE3359" w:rsidRDefault="009E295E" w:rsidP="00616792">
      <w:pPr>
        <w:pStyle w:val="Heading2"/>
        <w:rPr>
          <w:rFonts w:ascii="Arial" w:hAnsi="Arial" w:cs="Arial"/>
          <w:sz w:val="28"/>
          <w:szCs w:val="28"/>
        </w:rPr>
      </w:pPr>
      <w:bookmarkStart w:id="0" w:name="_Toc310597890"/>
      <w:r>
        <w:rPr>
          <w:rFonts w:ascii="Arial" w:hAnsi="Arial" w:cs="Arial"/>
          <w:sz w:val="28"/>
          <w:szCs w:val="28"/>
        </w:rPr>
        <w:t>Designating the Floodplain Administrator</w:t>
      </w:r>
      <w:r w:rsidR="004F5009">
        <w:rPr>
          <w:rFonts w:ascii="Arial" w:hAnsi="Arial" w:cs="Arial"/>
          <w:sz w:val="28"/>
          <w:szCs w:val="28"/>
        </w:rPr>
        <w:t xml:space="preserve"> </w:t>
      </w:r>
      <w:r w:rsidR="003510BB" w:rsidRPr="00680D7D">
        <w:rPr>
          <w:rFonts w:ascii="Arial" w:hAnsi="Arial" w:cs="Arial"/>
          <w:sz w:val="28"/>
          <w:szCs w:val="28"/>
        </w:rPr>
        <w:t xml:space="preserve">– </w:t>
      </w:r>
      <w:bookmarkEnd w:id="0"/>
      <w:r w:rsidR="00CC5421">
        <w:rPr>
          <w:rFonts w:ascii="Arial" w:hAnsi="Arial" w:cs="Arial"/>
          <w:b w:val="0"/>
          <w:sz w:val="28"/>
          <w:szCs w:val="28"/>
        </w:rPr>
        <w:t>local technical code amendments CCR Title (Part 2 building, Appendix G)</w:t>
      </w:r>
    </w:p>
    <w:p w14:paraId="0DDF5A86" w14:textId="77777777" w:rsidR="00616792" w:rsidRDefault="00616792" w:rsidP="6EF865C2">
      <w:pPr>
        <w:rPr>
          <w:rFonts w:asciiTheme="minorHAnsi" w:hAnsiTheme="minorHAnsi" w:cstheme="minorBidi"/>
          <w:b/>
          <w:bCs/>
          <w:sz w:val="26"/>
          <w:szCs w:val="26"/>
        </w:rPr>
      </w:pPr>
    </w:p>
    <w:p w14:paraId="35BF6463" w14:textId="70BFBC6C" w:rsidR="3CFD7C94" w:rsidRDefault="00A11B9E" w:rsidP="6EF865C2">
      <w:r>
        <w:rPr>
          <w:noProof/>
        </w:rPr>
        <mc:AlternateContent>
          <mc:Choice Requires="wps">
            <w:drawing>
              <wp:inline distT="0" distB="0" distL="0" distR="0" wp14:anchorId="06AC5D2B" wp14:editId="705C0E09">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3F7CDDA4" w14:textId="1CFE0984" w:rsidR="00A11B9E" w:rsidRDefault="00A11B9E" w:rsidP="00A11B9E">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98573C">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8" w:history="1">
                              <w:r>
                                <w:rPr>
                                  <w:rStyle w:val="Hyperlink"/>
                                  <w:rFonts w:asciiTheme="minorHAnsi" w:hAnsiTheme="minorHAnsi" w:cstheme="minorHAnsi"/>
                                  <w:sz w:val="24"/>
                                  <w:szCs w:val="24"/>
                                </w:rPr>
                                <w:t>DWR_NFIP@water.ca.gov</w:t>
                              </w:r>
                            </w:hyperlink>
                            <w:r>
                              <w:rPr>
                                <w:rStyle w:val="Hyperlink"/>
                                <w:rFonts w:asciiTheme="minorHAnsi" w:hAnsiTheme="minorHAnsi" w:cstheme="minorHAnsi"/>
                                <w:sz w:val="24"/>
                                <w:szCs w:val="24"/>
                                <w:u w:val="none"/>
                              </w:rPr>
                              <w:t xml:space="preserve"> or </w:t>
                            </w:r>
                            <w:hyperlink r:id="rId9" w:history="1">
                              <w:r w:rsidRPr="00CD2DE7">
                                <w:rPr>
                                  <w:rStyle w:val="Hyperlink"/>
                                  <w:rFonts w:asciiTheme="minorHAnsi" w:hAnsiTheme="minorHAnsi" w:cstheme="minorHAnsi"/>
                                  <w:sz w:val="24"/>
                                  <w:szCs w:val="24"/>
                                </w:rPr>
                                <w:t>FEMA-NFIP-R9@fema.dhs.gov</w:t>
                              </w:r>
                            </w:hyperlink>
                            <w:r>
                              <w:rPr>
                                <w:rFonts w:asciiTheme="minorHAnsi" w:hAnsiTheme="minorHAnsi" w:cstheme="minorHAnsi"/>
                                <w:sz w:val="24"/>
                                <w:szCs w:val="24"/>
                              </w:rPr>
                              <w:t xml:space="preserve">. Please put community name in subject line. </w:t>
                            </w:r>
                            <w:r w:rsidR="00685D23">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06AC5D2B"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3F7CDDA4" w14:textId="1CFE0984" w:rsidR="00A11B9E" w:rsidRDefault="00A11B9E" w:rsidP="00A11B9E">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98573C">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10" w:history="1">
                        <w:r>
                          <w:rPr>
                            <w:rStyle w:val="Hyperlink"/>
                            <w:rFonts w:asciiTheme="minorHAnsi" w:hAnsiTheme="minorHAnsi" w:cstheme="minorHAnsi"/>
                            <w:sz w:val="24"/>
                            <w:szCs w:val="24"/>
                          </w:rPr>
                          <w:t>DWR_NFIP@water.ca.gov</w:t>
                        </w:r>
                      </w:hyperlink>
                      <w:r>
                        <w:rPr>
                          <w:rStyle w:val="Hyperlink"/>
                          <w:rFonts w:asciiTheme="minorHAnsi" w:hAnsiTheme="minorHAnsi" w:cstheme="minorHAnsi"/>
                          <w:sz w:val="24"/>
                          <w:szCs w:val="24"/>
                          <w:u w:val="none"/>
                        </w:rPr>
                        <w:t xml:space="preserve"> or </w:t>
                      </w:r>
                      <w:hyperlink r:id="rId11" w:history="1">
                        <w:r w:rsidRPr="00CD2DE7">
                          <w:rPr>
                            <w:rStyle w:val="Hyperlink"/>
                            <w:rFonts w:asciiTheme="minorHAnsi" w:hAnsiTheme="minorHAnsi" w:cstheme="minorHAnsi"/>
                            <w:sz w:val="24"/>
                            <w:szCs w:val="24"/>
                          </w:rPr>
                          <w:t>FEMA-NFIP-R9@fema.dhs.gov</w:t>
                        </w:r>
                      </w:hyperlink>
                      <w:r>
                        <w:rPr>
                          <w:rFonts w:asciiTheme="minorHAnsi" w:hAnsiTheme="minorHAnsi" w:cstheme="minorHAnsi"/>
                          <w:sz w:val="24"/>
                          <w:szCs w:val="24"/>
                        </w:rPr>
                        <w:t xml:space="preserve">. Please put community name in subject line. </w:t>
                      </w:r>
                      <w:r w:rsidR="00685D23">
                        <w:rPr>
                          <w:rFonts w:asciiTheme="minorHAnsi" w:hAnsiTheme="minorHAnsi" w:cstheme="minorHAnsi"/>
                          <w:sz w:val="24"/>
                          <w:szCs w:val="24"/>
                        </w:rPr>
                        <w:t xml:space="preserve"> </w:t>
                      </w:r>
                    </w:p>
                  </w:txbxContent>
                </v:textbox>
                <w10:anchorlock/>
              </v:shape>
            </w:pict>
          </mc:Fallback>
        </mc:AlternateContent>
      </w:r>
    </w:p>
    <w:p w14:paraId="32283876" w14:textId="7187BF32" w:rsidR="004F5009" w:rsidRDefault="00616792" w:rsidP="6EF865C2">
      <w:pPr>
        <w:rPr>
          <w:rFonts w:asciiTheme="minorHAnsi" w:hAnsiTheme="minorHAnsi" w:cstheme="minorBidi"/>
          <w:sz w:val="26"/>
          <w:szCs w:val="26"/>
        </w:rPr>
      </w:pPr>
      <w:r w:rsidRPr="6EF865C2">
        <w:rPr>
          <w:rFonts w:asciiTheme="minorHAnsi" w:hAnsiTheme="minorHAnsi" w:cstheme="minorBidi"/>
          <w:b/>
          <w:bCs/>
          <w:sz w:val="26"/>
          <w:szCs w:val="26"/>
          <w:u w:val="single"/>
        </w:rPr>
        <w:t>Before you start</w:t>
      </w:r>
      <w:r w:rsidRPr="6EF865C2">
        <w:rPr>
          <w:rFonts w:asciiTheme="minorHAnsi" w:hAnsiTheme="minorHAnsi" w:cstheme="minorBidi"/>
          <w:b/>
          <w:bCs/>
          <w:sz w:val="26"/>
          <w:szCs w:val="26"/>
        </w:rPr>
        <w:t xml:space="preserve">:  </w:t>
      </w:r>
      <w:r w:rsidRPr="6EF865C2">
        <w:rPr>
          <w:rFonts w:asciiTheme="minorHAnsi" w:hAnsiTheme="minorHAnsi" w:cstheme="minorBidi"/>
          <w:sz w:val="26"/>
          <w:szCs w:val="26"/>
        </w:rPr>
        <w:t>Review the General Instructions for Amending the California Building Standards Code (C</w:t>
      </w:r>
      <w:r w:rsidR="00FA724A" w:rsidRPr="6EF865C2">
        <w:rPr>
          <w:rFonts w:asciiTheme="minorHAnsi" w:hAnsiTheme="minorHAnsi" w:cstheme="minorBidi"/>
          <w:sz w:val="26"/>
          <w:szCs w:val="26"/>
        </w:rPr>
        <w:t>C</w:t>
      </w:r>
      <w:r w:rsidRPr="6EF865C2">
        <w:rPr>
          <w:rFonts w:asciiTheme="minorHAnsi" w:hAnsiTheme="minorHAnsi" w:cstheme="minorBidi"/>
          <w:sz w:val="26"/>
          <w:szCs w:val="26"/>
        </w:rPr>
        <w:t>R Title 24) to Adopt Higher Standards for Buildings and Development Located in Flood Hazard Areas.</w:t>
      </w:r>
    </w:p>
    <w:p w14:paraId="7FBED96C" w14:textId="77777777" w:rsidR="001464B0" w:rsidRPr="00616792" w:rsidRDefault="001464B0" w:rsidP="6EF865C2">
      <w:pPr>
        <w:rPr>
          <w:rFonts w:asciiTheme="minorHAnsi" w:hAnsiTheme="minorHAnsi" w:cstheme="minorBidi"/>
          <w:snapToGrid/>
          <w:sz w:val="26"/>
          <w:szCs w:val="26"/>
        </w:rPr>
      </w:pPr>
    </w:p>
    <w:p w14:paraId="0FC3CB97" w14:textId="57A7F29A" w:rsidR="00AD5EBB" w:rsidRDefault="001745DC" w:rsidP="001464B0">
      <w:pPr>
        <w:jc w:val="center"/>
      </w:pPr>
      <w:r w:rsidRPr="00CF68D3">
        <w:rPr>
          <w:rFonts w:ascii="Arial" w:hAnsi="Arial" w:cs="Arial"/>
          <w:noProof/>
          <w:sz w:val="22"/>
          <w:szCs w:val="22"/>
        </w:rPr>
        <mc:AlternateContent>
          <mc:Choice Requires="wps">
            <w:drawing>
              <wp:inline distT="0" distB="0" distL="0" distR="0" wp14:anchorId="10612D04" wp14:editId="12D8F455">
                <wp:extent cx="45720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692B78B0" w14:textId="77777777" w:rsidR="004371BB" w:rsidRDefault="004371BB" w:rsidP="004371BB">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10612D04"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NjdYRQnAgAATAQAAA4AAAAAAAAAAAAAAAAALgIAAGRycy9lMm9Eb2Mu&#10;eG1sUEsBAi0AFAAGAAgAAAAhAOrpxL7bAAAABQEAAA8AAAAAAAAAAAAAAAAAgQQAAGRycy9kb3du&#10;cmV2LnhtbFBLBQYAAAAABAAEAPMAAACJBQAAAAA=&#10;">
                <v:textbox style="mso-fit-shape-to-text:t">
                  <w:txbxContent>
                    <w:p w14:paraId="692B78B0" w14:textId="77777777" w:rsidR="004371BB" w:rsidRDefault="004371BB" w:rsidP="004371BB">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6112ED36" w14:textId="77777777" w:rsidR="001464B0" w:rsidRPr="002927D3" w:rsidRDefault="001464B0" w:rsidP="002927D3"/>
    <w:p w14:paraId="6566234A" w14:textId="4EB8005C" w:rsidR="00831D95" w:rsidRPr="009F2B59" w:rsidRDefault="003510BB" w:rsidP="003510BB">
      <w:pPr>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00616792">
        <w:rPr>
          <w:rStyle w:val="FootnoteReference"/>
          <w:rFonts w:asciiTheme="minorHAnsi" w:hAnsiTheme="minorHAnsi" w:cstheme="minorHAnsi"/>
          <w:b/>
          <w:sz w:val="26"/>
          <w:szCs w:val="26"/>
          <w:u w:val="single"/>
        </w:rPr>
        <w:footnoteReference w:id="1"/>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9E295E" w:rsidRPr="009E295E">
        <w:rPr>
          <w:rFonts w:asciiTheme="minorHAnsi" w:hAnsiTheme="minorHAnsi" w:cstheme="minorHAnsi"/>
          <w:sz w:val="26"/>
          <w:szCs w:val="26"/>
        </w:rPr>
        <w:t>When communities apply to participate in the NFIP they legislatively “appoint or designate the agency or official with the responsibility, authority, and means to implement commitments” to the NFIP (44 CFR § 59.22(b)(1)). The designated official is commonly called the “floodplain administrator” or the “floodplain manager.” In most communities, the designated official has other duties and may be the head of a department, the city engineer, the principal planner, the building official, or a similar position. In small communities, the designated official may be the town clerk.</w:t>
      </w:r>
    </w:p>
    <w:p w14:paraId="1A64BA02" w14:textId="77777777" w:rsidR="00831D95" w:rsidRDefault="00831D95" w:rsidP="003510BB">
      <w:pPr>
        <w:rPr>
          <w:rFonts w:ascii="Times New Roman" w:hAnsi="Times New Roman"/>
          <w:sz w:val="24"/>
          <w:szCs w:val="24"/>
        </w:rPr>
      </w:pPr>
    </w:p>
    <w:p w14:paraId="1C64D7D2" w14:textId="79512607" w:rsidR="00076A36" w:rsidRPr="009F2B59" w:rsidRDefault="009C5AE3" w:rsidP="000225FA">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FA724A">
        <w:rPr>
          <w:rFonts w:asciiTheme="minorHAnsi" w:hAnsiTheme="minorHAnsi" w:cstheme="minorHAnsi"/>
          <w:b/>
          <w:sz w:val="26"/>
          <w:szCs w:val="26"/>
          <w:u w:val="single"/>
        </w:rPr>
        <w:t>Part 2 (buildings)</w:t>
      </w:r>
      <w:r w:rsidRPr="009F2B59">
        <w:rPr>
          <w:rFonts w:asciiTheme="minorHAnsi" w:hAnsiTheme="minorHAnsi" w:cstheme="minorHAnsi"/>
          <w:b/>
          <w:sz w:val="26"/>
          <w:szCs w:val="26"/>
          <w:u w:val="single"/>
        </w:rPr>
        <w:t xml:space="preserve"> specifies </w:t>
      </w:r>
      <w:r w:rsidR="009E295E">
        <w:rPr>
          <w:rFonts w:asciiTheme="minorHAnsi" w:hAnsiTheme="minorHAnsi" w:cstheme="minorHAnsi"/>
          <w:b/>
          <w:sz w:val="26"/>
          <w:szCs w:val="26"/>
          <w:u w:val="single"/>
        </w:rPr>
        <w:t>enforcement</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4371BB">
        <w:rPr>
          <w:rFonts w:asciiTheme="minorHAnsi" w:hAnsiTheme="minorHAnsi" w:cstheme="minorHAnsi"/>
          <w:sz w:val="26"/>
          <w:szCs w:val="26"/>
        </w:rPr>
        <w:t xml:space="preserve">Part 2 </w:t>
      </w:r>
      <w:r w:rsidR="009E295E" w:rsidRPr="009E295E">
        <w:rPr>
          <w:rFonts w:asciiTheme="minorHAnsi" w:hAnsiTheme="minorHAnsi" w:cstheme="minorHAnsi"/>
          <w:sz w:val="26"/>
          <w:szCs w:val="26"/>
        </w:rPr>
        <w:t xml:space="preserve">Chapter 1 Section 103 creates the enforcement agency (generically referred to as the “Department of Building Safety”) and requires the “chief appointing authority of the jurisdiction” to appoint the building official. Further, the building official is given the authority to appoint a deputy, technical officers, inspectors, plan examiners, and other employees. </w:t>
      </w:r>
    </w:p>
    <w:p w14:paraId="63B85E71" w14:textId="77777777" w:rsidR="004F6805" w:rsidRPr="009F2B59" w:rsidRDefault="004F6805" w:rsidP="003510BB">
      <w:pPr>
        <w:rPr>
          <w:rFonts w:asciiTheme="minorHAnsi" w:hAnsiTheme="minorHAnsi" w:cstheme="minorHAnsi"/>
          <w:sz w:val="26"/>
          <w:szCs w:val="26"/>
        </w:rPr>
      </w:pPr>
    </w:p>
    <w:p w14:paraId="0CC10E2C" w14:textId="2F659311" w:rsidR="00995460" w:rsidRDefault="009C5AE3" w:rsidP="00995460">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FA724A">
        <w:rPr>
          <w:rFonts w:asciiTheme="minorHAnsi" w:hAnsiTheme="minorHAnsi" w:cstheme="minorHAnsi"/>
          <w:b/>
          <w:sz w:val="26"/>
          <w:szCs w:val="26"/>
          <w:u w:val="single"/>
        </w:rPr>
        <w:t xml:space="preserve">Part 2 </w:t>
      </w:r>
      <w:r w:rsidR="009E295E">
        <w:rPr>
          <w:rFonts w:asciiTheme="minorHAnsi" w:hAnsiTheme="minorHAnsi" w:cstheme="minorHAnsi"/>
          <w:b/>
          <w:sz w:val="26"/>
          <w:szCs w:val="26"/>
          <w:u w:val="single"/>
        </w:rPr>
        <w:t xml:space="preserve">Appendix G </w:t>
      </w:r>
      <w:r w:rsidRPr="009F2B59">
        <w:rPr>
          <w:rFonts w:asciiTheme="minorHAnsi" w:hAnsiTheme="minorHAnsi" w:cstheme="minorHAnsi"/>
          <w:b/>
          <w:sz w:val="26"/>
          <w:szCs w:val="26"/>
          <w:u w:val="single"/>
        </w:rPr>
        <w:t xml:space="preserve">specifies </w:t>
      </w:r>
      <w:r w:rsidR="009E295E">
        <w:rPr>
          <w:rFonts w:asciiTheme="minorHAnsi" w:hAnsiTheme="minorHAnsi" w:cstheme="minorHAnsi"/>
          <w:b/>
          <w:sz w:val="26"/>
          <w:szCs w:val="26"/>
          <w:u w:val="single"/>
        </w:rPr>
        <w:t>the responsible official</w:t>
      </w:r>
      <w:r w:rsidRPr="009F2B59">
        <w:rPr>
          <w:rFonts w:asciiTheme="minorHAnsi" w:hAnsiTheme="minorHAnsi" w:cstheme="minorHAnsi"/>
          <w:b/>
          <w:sz w:val="26"/>
          <w:szCs w:val="26"/>
          <w:u w:val="single"/>
        </w:rPr>
        <w:t>:</w:t>
      </w:r>
      <w:r w:rsidRPr="009F2B59">
        <w:rPr>
          <w:rFonts w:asciiTheme="minorHAnsi" w:hAnsiTheme="minorHAnsi" w:cstheme="minorHAnsi"/>
          <w:sz w:val="26"/>
          <w:szCs w:val="26"/>
        </w:rPr>
        <w:t xml:space="preserve">  </w:t>
      </w:r>
      <w:r w:rsidR="004371BB">
        <w:rPr>
          <w:rFonts w:asciiTheme="minorHAnsi" w:hAnsiTheme="minorHAnsi" w:cstheme="minorHAnsi"/>
          <w:sz w:val="26"/>
          <w:szCs w:val="26"/>
        </w:rPr>
        <w:t xml:space="preserve">Part </w:t>
      </w:r>
      <w:proofErr w:type="gramStart"/>
      <w:r w:rsidR="004371BB">
        <w:rPr>
          <w:rFonts w:asciiTheme="minorHAnsi" w:hAnsiTheme="minorHAnsi" w:cstheme="minorHAnsi"/>
          <w:sz w:val="26"/>
          <w:szCs w:val="26"/>
        </w:rPr>
        <w:t xml:space="preserve">2 </w:t>
      </w:r>
      <w:r w:rsidR="00C64F34">
        <w:rPr>
          <w:rFonts w:asciiTheme="minorHAnsi" w:hAnsiTheme="minorHAnsi" w:cstheme="minorHAnsi"/>
          <w:sz w:val="26"/>
          <w:szCs w:val="26"/>
        </w:rPr>
        <w:t xml:space="preserve"> </w:t>
      </w:r>
      <w:r w:rsidR="009E295E" w:rsidRPr="009E295E">
        <w:rPr>
          <w:rFonts w:asciiTheme="minorHAnsi" w:hAnsiTheme="minorHAnsi" w:cstheme="minorHAnsi"/>
          <w:sz w:val="26"/>
          <w:szCs w:val="26"/>
        </w:rPr>
        <w:t>Appendix</w:t>
      </w:r>
      <w:proofErr w:type="gramEnd"/>
      <w:r w:rsidR="009E295E" w:rsidRPr="009E295E">
        <w:rPr>
          <w:rFonts w:asciiTheme="minorHAnsi" w:hAnsiTheme="minorHAnsi" w:cstheme="minorHAnsi"/>
          <w:sz w:val="26"/>
          <w:szCs w:val="26"/>
        </w:rPr>
        <w:t xml:space="preserve"> G identifies the building official as the responsible official</w:t>
      </w:r>
      <w:r w:rsidR="00C64F34">
        <w:rPr>
          <w:rFonts w:asciiTheme="minorHAnsi" w:hAnsiTheme="minorHAnsi" w:cstheme="minorHAnsi"/>
          <w:sz w:val="26"/>
          <w:szCs w:val="26"/>
        </w:rPr>
        <w:t xml:space="preserve"> (Section G103 Powers and Duties)</w:t>
      </w:r>
      <w:r w:rsidR="009E295E" w:rsidRPr="009E295E">
        <w:rPr>
          <w:rFonts w:asciiTheme="minorHAnsi" w:hAnsiTheme="minorHAnsi" w:cstheme="minorHAnsi"/>
          <w:sz w:val="26"/>
          <w:szCs w:val="26"/>
        </w:rPr>
        <w:t xml:space="preserve">. </w:t>
      </w:r>
      <w:r w:rsidR="00F477FC">
        <w:rPr>
          <w:rFonts w:asciiTheme="minorHAnsi" w:hAnsiTheme="minorHAnsi" w:cstheme="minorHAnsi"/>
          <w:sz w:val="26"/>
          <w:szCs w:val="26"/>
        </w:rPr>
        <w:t>However, Appendix G does not contain provisions that affect the design and construction of buildings.</w:t>
      </w:r>
    </w:p>
    <w:p w14:paraId="4AC82211" w14:textId="77777777" w:rsidR="00995460" w:rsidRDefault="00995460" w:rsidP="00995460">
      <w:pPr>
        <w:rPr>
          <w:rFonts w:asciiTheme="minorHAnsi" w:hAnsiTheme="minorHAnsi" w:cstheme="minorHAnsi"/>
          <w:sz w:val="26"/>
          <w:szCs w:val="26"/>
        </w:rPr>
      </w:pPr>
    </w:p>
    <w:p w14:paraId="66012195" w14:textId="1861B787" w:rsidR="006B67DD" w:rsidRDefault="00995460" w:rsidP="00995460">
      <w:pPr>
        <w:rPr>
          <w:rFonts w:asciiTheme="minorHAnsi" w:hAnsiTheme="minorHAnsi" w:cstheme="minorHAnsi"/>
          <w:sz w:val="26"/>
          <w:szCs w:val="26"/>
        </w:rPr>
      </w:pPr>
      <w:r w:rsidRPr="00995460">
        <w:rPr>
          <w:rFonts w:asciiTheme="minorHAnsi" w:hAnsiTheme="minorHAnsi" w:cstheme="minorHAnsi"/>
          <w:b/>
          <w:sz w:val="26"/>
          <w:szCs w:val="26"/>
          <w:u w:val="single"/>
        </w:rPr>
        <w:t xml:space="preserve">Amending </w:t>
      </w:r>
      <w:r w:rsidR="00FA724A">
        <w:rPr>
          <w:rFonts w:asciiTheme="minorHAnsi" w:hAnsiTheme="minorHAnsi" w:cstheme="minorHAnsi"/>
          <w:b/>
          <w:sz w:val="26"/>
          <w:szCs w:val="26"/>
          <w:u w:val="single"/>
        </w:rPr>
        <w:t xml:space="preserve">Part 2 </w:t>
      </w:r>
      <w:r w:rsidRPr="00995460">
        <w:rPr>
          <w:rFonts w:asciiTheme="minorHAnsi" w:hAnsiTheme="minorHAnsi" w:cstheme="minorHAnsi"/>
          <w:b/>
          <w:sz w:val="26"/>
          <w:szCs w:val="26"/>
          <w:u w:val="single"/>
        </w:rPr>
        <w:t>Appendix G to Designate a Floodplain Manager Other than the Building Official:</w:t>
      </w:r>
      <w:r>
        <w:rPr>
          <w:rFonts w:asciiTheme="minorHAnsi" w:hAnsiTheme="minorHAnsi" w:cstheme="minorHAnsi"/>
          <w:sz w:val="26"/>
          <w:szCs w:val="26"/>
        </w:rPr>
        <w:t xml:space="preserve">  </w:t>
      </w:r>
      <w:r w:rsidR="00F477FC">
        <w:rPr>
          <w:rFonts w:asciiTheme="minorHAnsi" w:hAnsiTheme="minorHAnsi" w:cstheme="minorHAnsi"/>
          <w:sz w:val="26"/>
          <w:szCs w:val="26"/>
        </w:rPr>
        <w:t xml:space="preserve">It is common for communities to have </w:t>
      </w:r>
      <w:r w:rsidR="009E295E" w:rsidRPr="009E295E">
        <w:rPr>
          <w:rFonts w:asciiTheme="minorHAnsi" w:hAnsiTheme="minorHAnsi" w:cstheme="minorHAnsi"/>
          <w:sz w:val="26"/>
          <w:szCs w:val="26"/>
        </w:rPr>
        <w:t xml:space="preserve">more than one </w:t>
      </w:r>
      <w:r w:rsidR="00C64F34">
        <w:rPr>
          <w:rFonts w:asciiTheme="minorHAnsi" w:hAnsiTheme="minorHAnsi" w:cstheme="minorHAnsi"/>
          <w:sz w:val="26"/>
          <w:szCs w:val="26"/>
        </w:rPr>
        <w:t xml:space="preserve">official or </w:t>
      </w:r>
      <w:r w:rsidR="009E295E" w:rsidRPr="009E295E">
        <w:rPr>
          <w:rFonts w:asciiTheme="minorHAnsi" w:hAnsiTheme="minorHAnsi" w:cstheme="minorHAnsi"/>
          <w:sz w:val="26"/>
          <w:szCs w:val="26"/>
        </w:rPr>
        <w:t xml:space="preserve">agency involved </w:t>
      </w:r>
      <w:r w:rsidR="00F477FC">
        <w:rPr>
          <w:rFonts w:asciiTheme="minorHAnsi" w:hAnsiTheme="minorHAnsi" w:cstheme="minorHAnsi"/>
          <w:sz w:val="26"/>
          <w:szCs w:val="26"/>
        </w:rPr>
        <w:t>in administering floodplain management requirements</w:t>
      </w:r>
      <w:r w:rsidR="009E295E" w:rsidRPr="009E295E">
        <w:rPr>
          <w:rFonts w:asciiTheme="minorHAnsi" w:hAnsiTheme="minorHAnsi" w:cstheme="minorHAnsi"/>
          <w:sz w:val="26"/>
          <w:szCs w:val="26"/>
        </w:rPr>
        <w:t xml:space="preserve">. </w:t>
      </w:r>
      <w:r w:rsidR="00F477FC">
        <w:rPr>
          <w:rFonts w:asciiTheme="minorHAnsi" w:hAnsiTheme="minorHAnsi" w:cstheme="minorHAnsi"/>
          <w:sz w:val="26"/>
          <w:szCs w:val="26"/>
        </w:rPr>
        <w:t>C</w:t>
      </w:r>
      <w:r w:rsidR="00F477FC" w:rsidRPr="009E295E">
        <w:rPr>
          <w:rFonts w:asciiTheme="minorHAnsi" w:hAnsiTheme="minorHAnsi" w:cstheme="minorHAnsi"/>
          <w:sz w:val="26"/>
          <w:szCs w:val="26"/>
        </w:rPr>
        <w:t xml:space="preserve">ommunities </w:t>
      </w:r>
      <w:r w:rsidR="00F477FC">
        <w:rPr>
          <w:rFonts w:asciiTheme="minorHAnsi" w:hAnsiTheme="minorHAnsi" w:cstheme="minorHAnsi"/>
          <w:sz w:val="26"/>
          <w:szCs w:val="26"/>
        </w:rPr>
        <w:lastRenderedPageBreak/>
        <w:t xml:space="preserve">that already have an official other than the building official designated to be responsible for floodplain management may </w:t>
      </w:r>
      <w:r w:rsidR="00F477FC" w:rsidRPr="009E295E">
        <w:rPr>
          <w:rFonts w:asciiTheme="minorHAnsi" w:hAnsiTheme="minorHAnsi" w:cstheme="minorHAnsi"/>
          <w:sz w:val="26"/>
          <w:szCs w:val="26"/>
        </w:rPr>
        <w:t xml:space="preserve">want to </w:t>
      </w:r>
      <w:r w:rsidR="00F477FC">
        <w:rPr>
          <w:rFonts w:asciiTheme="minorHAnsi" w:hAnsiTheme="minorHAnsi" w:cstheme="minorHAnsi"/>
          <w:sz w:val="26"/>
          <w:szCs w:val="26"/>
        </w:rPr>
        <w:t xml:space="preserve">modify Appendix G to </w:t>
      </w:r>
      <w:r w:rsidR="00F477FC" w:rsidRPr="009E295E">
        <w:rPr>
          <w:rFonts w:asciiTheme="minorHAnsi" w:hAnsiTheme="minorHAnsi" w:cstheme="minorHAnsi"/>
          <w:sz w:val="26"/>
          <w:szCs w:val="26"/>
        </w:rPr>
        <w:t xml:space="preserve">designate </w:t>
      </w:r>
      <w:r w:rsidR="00F477FC">
        <w:rPr>
          <w:rFonts w:asciiTheme="minorHAnsi" w:hAnsiTheme="minorHAnsi" w:cstheme="minorHAnsi"/>
          <w:sz w:val="26"/>
          <w:szCs w:val="26"/>
        </w:rPr>
        <w:t xml:space="preserve">that </w:t>
      </w:r>
      <w:r w:rsidR="00F477FC" w:rsidRPr="009E295E">
        <w:rPr>
          <w:rFonts w:asciiTheme="minorHAnsi" w:hAnsiTheme="minorHAnsi" w:cstheme="minorHAnsi"/>
          <w:sz w:val="26"/>
          <w:szCs w:val="26"/>
        </w:rPr>
        <w:t>official</w:t>
      </w:r>
      <w:r w:rsidR="00F477FC">
        <w:rPr>
          <w:rFonts w:asciiTheme="minorHAnsi" w:hAnsiTheme="minorHAnsi" w:cstheme="minorHAnsi"/>
          <w:sz w:val="26"/>
          <w:szCs w:val="26"/>
        </w:rPr>
        <w:t xml:space="preserve">.  </w:t>
      </w:r>
    </w:p>
    <w:p w14:paraId="37B9496C" w14:textId="77777777" w:rsidR="00995460" w:rsidRDefault="00995460" w:rsidP="00995460">
      <w:pPr>
        <w:rPr>
          <w:rFonts w:asciiTheme="minorHAnsi" w:hAnsiTheme="minorHAnsi" w:cstheme="minorHAnsi"/>
          <w:sz w:val="26"/>
          <w:szCs w:val="26"/>
        </w:rPr>
      </w:pPr>
    </w:p>
    <w:p w14:paraId="54724903" w14:textId="5DBCA3AB"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0BA38687" w14:textId="77CA6D69" w:rsidR="00FE1AC3" w:rsidRPr="009F2B59" w:rsidRDefault="00F477FC" w:rsidP="00FE1AC3">
      <w:pPr>
        <w:rPr>
          <w:rFonts w:asciiTheme="minorHAnsi" w:hAnsiTheme="minorHAnsi" w:cstheme="minorHAnsi"/>
          <w:i/>
          <w:sz w:val="26"/>
          <w:szCs w:val="26"/>
        </w:rPr>
      </w:pPr>
      <w:r>
        <w:rPr>
          <w:rFonts w:asciiTheme="minorHAnsi" w:hAnsiTheme="minorHAnsi" w:cstheme="minorHAnsi"/>
          <w:b/>
          <w:sz w:val="26"/>
          <w:szCs w:val="26"/>
        </w:rPr>
        <w:t xml:space="preserve">Use this amendment to designate an official other than the building official to administer </w:t>
      </w:r>
      <w:r w:rsidR="00283E9C">
        <w:rPr>
          <w:rFonts w:asciiTheme="minorHAnsi" w:hAnsiTheme="minorHAnsi" w:cstheme="minorHAnsi"/>
          <w:b/>
          <w:sz w:val="26"/>
          <w:szCs w:val="26"/>
        </w:rPr>
        <w:t>Part 2</w:t>
      </w:r>
      <w:r>
        <w:rPr>
          <w:rFonts w:asciiTheme="minorHAnsi" w:hAnsiTheme="minorHAnsi" w:cstheme="minorHAnsi"/>
          <w:b/>
          <w:sz w:val="26"/>
          <w:szCs w:val="26"/>
        </w:rPr>
        <w:t xml:space="preserve"> Appendix G</w:t>
      </w:r>
      <w:r w:rsidR="001F317D" w:rsidRPr="009F2B59">
        <w:rPr>
          <w:rFonts w:asciiTheme="minorHAnsi" w:hAnsiTheme="minorHAnsi" w:cstheme="minorHAnsi"/>
          <w:b/>
          <w:i/>
          <w:sz w:val="26"/>
          <w:szCs w:val="26"/>
        </w:rPr>
        <w:t>.</w:t>
      </w:r>
      <w:r w:rsidR="001F317D" w:rsidRPr="009F2B59">
        <w:rPr>
          <w:rFonts w:asciiTheme="minorHAnsi" w:hAnsiTheme="minorHAnsi" w:cstheme="minorHAnsi"/>
          <w:i/>
          <w:sz w:val="26"/>
          <w:szCs w:val="26"/>
        </w:rPr>
        <w:t xml:space="preserve">  </w:t>
      </w:r>
    </w:p>
    <w:p w14:paraId="1B6C9208"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325CD542" w14:textId="77777777" w:rsidR="00616792" w:rsidRDefault="00616792" w:rsidP="00616792">
            <w:pPr>
              <w:widowControl/>
              <w:rPr>
                <w:rFonts w:ascii="Arial" w:hAnsi="Arial" w:cs="Arial"/>
                <w:bCs/>
                <w:i/>
                <w:iCs/>
                <w:sz w:val="22"/>
                <w:szCs w:val="22"/>
              </w:rPr>
            </w:pPr>
          </w:p>
          <w:p w14:paraId="02EBFD30" w14:textId="2BD45E44" w:rsidR="00616792" w:rsidRDefault="00CC5421" w:rsidP="00616792">
            <w:pPr>
              <w:widowControl/>
              <w:rPr>
                <w:rFonts w:ascii="Arial" w:hAnsi="Arial" w:cs="Arial"/>
                <w:b/>
                <w:sz w:val="22"/>
                <w:szCs w:val="22"/>
              </w:rPr>
            </w:pPr>
            <w:r>
              <w:rPr>
                <w:rFonts w:ascii="Arial" w:hAnsi="Arial" w:cs="Arial"/>
                <w:bCs/>
                <w:i/>
                <w:iCs/>
                <w:sz w:val="22"/>
                <w:szCs w:val="22"/>
              </w:rPr>
              <w:t xml:space="preserve">CCR Title 24, Part 2 Appendix G </w:t>
            </w:r>
            <w:r w:rsidR="00616792">
              <w:rPr>
                <w:rFonts w:ascii="Arial" w:hAnsi="Arial" w:cs="Arial"/>
                <w:bCs/>
                <w:i/>
                <w:iCs/>
                <w:sz w:val="22"/>
                <w:szCs w:val="22"/>
              </w:rPr>
              <w:t>Section G101.5 is hereby amended as follows:</w:t>
            </w:r>
            <w:r w:rsidR="00616792">
              <w:rPr>
                <w:rFonts w:ascii="Arial" w:hAnsi="Arial" w:cs="Arial"/>
                <w:b/>
                <w:sz w:val="22"/>
                <w:szCs w:val="22"/>
              </w:rPr>
              <w:t xml:space="preserve"> </w:t>
            </w:r>
          </w:p>
          <w:p w14:paraId="6600E8A3" w14:textId="77777777" w:rsidR="000225FA" w:rsidRDefault="000225FA" w:rsidP="009F2B59">
            <w:pPr>
              <w:widowControl/>
              <w:rPr>
                <w:rFonts w:ascii="Arial" w:hAnsi="Arial" w:cs="Arial"/>
                <w:b/>
                <w:sz w:val="22"/>
                <w:szCs w:val="22"/>
              </w:rPr>
            </w:pPr>
          </w:p>
          <w:p w14:paraId="6E80B973" w14:textId="77777777" w:rsidR="009E295E" w:rsidRPr="009E295E" w:rsidRDefault="009E295E" w:rsidP="009E295E">
            <w:pPr>
              <w:keepNext/>
              <w:widowControl/>
              <w:tabs>
                <w:tab w:val="left" w:pos="432"/>
              </w:tabs>
              <w:spacing w:before="120" w:after="120"/>
              <w:ind w:left="432"/>
              <w:rPr>
                <w:rFonts w:ascii="Arial" w:hAnsi="Arial" w:cs="Arial"/>
                <w:snapToGrid/>
                <w:sz w:val="22"/>
                <w:szCs w:val="22"/>
                <w:u w:val="single"/>
              </w:rPr>
            </w:pPr>
            <w:r w:rsidRPr="009E295E">
              <w:rPr>
                <w:rFonts w:ascii="Arial" w:hAnsi="Arial" w:cs="Arial"/>
                <w:b/>
                <w:snapToGrid/>
                <w:sz w:val="22"/>
                <w:szCs w:val="22"/>
                <w:u w:val="single"/>
              </w:rPr>
              <w:t>G101.5 Designation of floodplain administrator</w:t>
            </w:r>
            <w:r w:rsidRPr="009E295E">
              <w:rPr>
                <w:rFonts w:ascii="Arial" w:hAnsi="Arial" w:cs="Arial"/>
                <w:snapToGrid/>
                <w:sz w:val="22"/>
                <w:szCs w:val="22"/>
                <w:u w:val="single"/>
              </w:rPr>
              <w:t xml:space="preserve">. The </w:t>
            </w:r>
            <w:r w:rsidRPr="009E295E">
              <w:rPr>
                <w:rFonts w:ascii="Arial" w:hAnsi="Arial" w:cs="Arial"/>
                <w:b/>
                <w:snapToGrid/>
                <w:sz w:val="22"/>
                <w:szCs w:val="22"/>
                <w:u w:val="single"/>
              </w:rPr>
              <w:t>{insert jurisdiction’s selected position title}</w:t>
            </w:r>
            <w:r w:rsidRPr="009E295E">
              <w:rPr>
                <w:rFonts w:ascii="Arial" w:hAnsi="Arial" w:cs="Arial"/>
                <w:snapToGrid/>
                <w:sz w:val="22"/>
                <w:szCs w:val="22"/>
                <w:u w:val="single"/>
              </w:rPr>
              <w:t xml:space="preserve"> is designated as the floodplain administrator and is authorized and directed to enforce the provisions of this appendix. The floodplain administrator is authorized to delegate performance of certain duties to other employees of the jurisdiction. Such designation shall not alter any duties and powers of the building official.</w:t>
            </w:r>
          </w:p>
          <w:p w14:paraId="3D5FC0BE" w14:textId="77777777" w:rsidR="009E295E" w:rsidRDefault="009E295E" w:rsidP="009E295E">
            <w:pPr>
              <w:keepNext/>
              <w:widowControl/>
              <w:spacing w:before="120" w:after="120"/>
              <w:rPr>
                <w:rFonts w:ascii="Arial" w:hAnsi="Arial" w:cs="Arial"/>
                <w:snapToGrid/>
                <w:sz w:val="22"/>
                <w:szCs w:val="22"/>
              </w:rPr>
            </w:pPr>
          </w:p>
          <w:p w14:paraId="3A2292CA" w14:textId="7F34FF54" w:rsidR="009E295E" w:rsidRPr="001745DC" w:rsidRDefault="009E295E" w:rsidP="009E295E">
            <w:pPr>
              <w:keepNext/>
              <w:widowControl/>
              <w:spacing w:before="120" w:after="120"/>
              <w:rPr>
                <w:rFonts w:ascii="Arial" w:hAnsi="Arial" w:cs="Arial"/>
                <w:i/>
                <w:snapToGrid/>
                <w:sz w:val="22"/>
                <w:szCs w:val="22"/>
              </w:rPr>
            </w:pPr>
            <w:r w:rsidRPr="001745DC">
              <w:rPr>
                <w:rFonts w:ascii="Arial" w:hAnsi="Arial" w:cs="Arial"/>
                <w:i/>
                <w:snapToGrid/>
                <w:sz w:val="22"/>
                <w:szCs w:val="22"/>
              </w:rPr>
              <w:t>Throughout Appendix G, replace “building official” with “floodplain administrator” (example below shows only one of several locations where this change should be made):</w:t>
            </w:r>
          </w:p>
          <w:p w14:paraId="1F62B99C" w14:textId="43CCE7FC" w:rsidR="008051C9" w:rsidRPr="009E295E" w:rsidRDefault="009E295E" w:rsidP="009E295E">
            <w:pPr>
              <w:ind w:left="360"/>
              <w:rPr>
                <w:rFonts w:ascii="Arial" w:hAnsi="Arial" w:cs="Arial"/>
                <w:i/>
                <w:sz w:val="22"/>
                <w:szCs w:val="22"/>
              </w:rPr>
            </w:pPr>
            <w:r w:rsidRPr="009E295E">
              <w:rPr>
                <w:rFonts w:ascii="Arial" w:hAnsi="Arial" w:cs="Arial"/>
                <w:b/>
                <w:bCs/>
                <w:snapToGrid/>
                <w:sz w:val="22"/>
                <w:szCs w:val="22"/>
              </w:rPr>
              <w:t>G103.2 Other permits</w:t>
            </w:r>
            <w:r w:rsidRPr="009E295E">
              <w:rPr>
                <w:rFonts w:ascii="Arial" w:hAnsi="Arial" w:cs="Arial"/>
                <w:snapToGrid/>
                <w:sz w:val="22"/>
                <w:szCs w:val="22"/>
              </w:rPr>
              <w:t xml:space="preserve">. It shall be the responsibility of the </w:t>
            </w:r>
            <w:r w:rsidRPr="009E295E">
              <w:rPr>
                <w:rFonts w:ascii="Arial" w:hAnsi="Arial" w:cs="Arial"/>
                <w:snapToGrid/>
                <w:sz w:val="22"/>
                <w:szCs w:val="22"/>
                <w:u w:val="single"/>
              </w:rPr>
              <w:t>floodplain administrator</w:t>
            </w:r>
            <w:r w:rsidRPr="009E295E">
              <w:rPr>
                <w:rFonts w:ascii="Arial" w:hAnsi="Arial" w:cs="Arial"/>
                <w:snapToGrid/>
                <w:sz w:val="22"/>
                <w:szCs w:val="22"/>
              </w:rPr>
              <w:t xml:space="preserve"> </w:t>
            </w:r>
            <w:r w:rsidRPr="009E295E">
              <w:rPr>
                <w:rFonts w:ascii="Arial" w:hAnsi="Arial" w:cs="Arial"/>
                <w:strike/>
                <w:snapToGrid/>
                <w:sz w:val="22"/>
                <w:szCs w:val="22"/>
              </w:rPr>
              <w:t>building official</w:t>
            </w:r>
            <w:r w:rsidRPr="009E295E">
              <w:rPr>
                <w:rFonts w:ascii="Arial" w:hAnsi="Arial" w:cs="Arial"/>
                <w:snapToGrid/>
                <w:sz w:val="22"/>
                <w:szCs w:val="22"/>
              </w:rPr>
              <w:t xml:space="preserve"> to assure that approval of a proposed development shall not be given until proof that necessary permits have been granted by federal or state agencies having jurisdiction over such development.</w:t>
            </w:r>
          </w:p>
          <w:p w14:paraId="6223D29E" w14:textId="77777777" w:rsidR="008051C9" w:rsidRDefault="008051C9" w:rsidP="000225FA">
            <w:pPr>
              <w:tabs>
                <w:tab w:val="left" w:pos="432"/>
              </w:tabs>
              <w:ind w:left="360"/>
              <w:rPr>
                <w:rFonts w:ascii="Arial" w:hAnsi="Arial" w:cs="Arial"/>
                <w:sz w:val="22"/>
                <w:szCs w:val="22"/>
              </w:rPr>
            </w:pPr>
          </w:p>
        </w:tc>
      </w:tr>
    </w:tbl>
    <w:p w14:paraId="21DA0286" w14:textId="2F37CD83" w:rsidR="005C026D" w:rsidRPr="005D41A2" w:rsidRDefault="005C026D" w:rsidP="0093485F">
      <w:pPr>
        <w:widowControl/>
        <w:spacing w:before="120" w:after="120"/>
        <w:rPr>
          <w:rFonts w:asciiTheme="minorHAnsi" w:hAnsiTheme="minorHAnsi" w:cstheme="minorHAnsi"/>
          <w:sz w:val="28"/>
          <w:szCs w:val="28"/>
        </w:rPr>
      </w:pPr>
    </w:p>
    <w:sectPr w:rsidR="005C026D" w:rsidRPr="005D41A2" w:rsidSect="003A660F">
      <w:footerReference w:type="default" r:id="rId1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0A5A" w14:textId="77777777" w:rsidR="00C022F2" w:rsidRDefault="00C022F2" w:rsidP="00273EEE">
      <w:r>
        <w:separator/>
      </w:r>
    </w:p>
  </w:endnote>
  <w:endnote w:type="continuationSeparator" w:id="0">
    <w:p w14:paraId="32FDC013" w14:textId="77777777" w:rsidR="00C022F2" w:rsidRDefault="00C022F2"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7CB6D67A" w:rsidR="00273EEE" w:rsidRPr="00273EEE" w:rsidRDefault="00273EEE">
    <w:pPr>
      <w:pStyle w:val="Footer"/>
      <w:rPr>
        <w:rFonts w:ascii="Arial" w:hAnsi="Arial" w:cs="Arial"/>
      </w:rPr>
    </w:pPr>
    <w:r>
      <w:rPr>
        <w:rFonts w:ascii="Arial" w:hAnsi="Arial" w:cs="Arial"/>
      </w:rPr>
      <w:t xml:space="preserve">Higher Standard: </w:t>
    </w:r>
    <w:r w:rsidR="009E295E" w:rsidRPr="00C64F34">
      <w:rPr>
        <w:rFonts w:ascii="Arial" w:hAnsi="Arial" w:cs="Arial"/>
      </w:rPr>
      <w:t>Designating the Floodplain Administrator</w:t>
    </w:r>
    <w:r w:rsidR="0013591C" w:rsidRPr="005624E0">
      <w:rPr>
        <w:rFonts w:ascii="Arial" w:hAnsi="Arial" w:cs="Arial"/>
      </w:rPr>
      <w:t xml:space="preserve"> (</w:t>
    </w:r>
    <w:r w:rsidR="001464B0">
      <w:rPr>
        <w:rFonts w:ascii="Arial" w:hAnsi="Arial" w:cs="Arial"/>
      </w:rPr>
      <w:t>December</w:t>
    </w:r>
    <w:r w:rsidR="00283E9C">
      <w:rPr>
        <w:rFonts w:ascii="Arial" w:hAnsi="Arial" w:cs="Arial"/>
      </w:rPr>
      <w:t xml:space="preserve"> 2020</w:t>
    </w:r>
    <w:r w:rsidR="009F2B59">
      <w:rPr>
        <w:rFonts w:ascii="Arial" w:hAnsi="Arial" w:cs="Arial"/>
      </w:rPr>
      <w:t>)</w:t>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1745DC">
      <w:rPr>
        <w:rFonts w:ascii="Arial" w:hAnsi="Arial" w:cs="Arial"/>
        <w:noProof/>
      </w:rPr>
      <w:t>1</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2F6ED" w14:textId="77777777" w:rsidR="00C022F2" w:rsidRDefault="00C022F2" w:rsidP="00273EEE">
      <w:r>
        <w:separator/>
      </w:r>
    </w:p>
  </w:footnote>
  <w:footnote w:type="continuationSeparator" w:id="0">
    <w:p w14:paraId="10967472" w14:textId="77777777" w:rsidR="00C022F2" w:rsidRDefault="00C022F2" w:rsidP="00273EEE">
      <w:r>
        <w:continuationSeparator/>
      </w:r>
    </w:p>
  </w:footnote>
  <w:footnote w:id="1">
    <w:p w14:paraId="035AFBD1" w14:textId="76644C48" w:rsidR="00616792" w:rsidRDefault="00616792">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62539"/>
    <w:multiLevelType w:val="multilevel"/>
    <w:tmpl w:val="0B30797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8"/>
  </w:num>
  <w:num w:numId="4">
    <w:abstractNumId w:val="17"/>
  </w:num>
  <w:num w:numId="5">
    <w:abstractNumId w:val="7"/>
  </w:num>
  <w:num w:numId="6">
    <w:abstractNumId w:val="11"/>
  </w:num>
  <w:num w:numId="7">
    <w:abstractNumId w:val="19"/>
  </w:num>
  <w:num w:numId="8">
    <w:abstractNumId w:val="5"/>
  </w:num>
  <w:num w:numId="9">
    <w:abstractNumId w:val="9"/>
  </w:num>
  <w:num w:numId="10">
    <w:abstractNumId w:val="2"/>
  </w:num>
  <w:num w:numId="11">
    <w:abstractNumId w:val="6"/>
  </w:num>
  <w:num w:numId="12">
    <w:abstractNumId w:val="14"/>
  </w:num>
  <w:num w:numId="13">
    <w:abstractNumId w:val="13"/>
  </w:num>
  <w:num w:numId="14">
    <w:abstractNumId w:val="15"/>
  </w:num>
  <w:num w:numId="15">
    <w:abstractNumId w:val="16"/>
  </w:num>
  <w:num w:numId="16">
    <w:abstractNumId w:val="1"/>
  </w:num>
  <w:num w:numId="17">
    <w:abstractNumId w:val="0"/>
  </w:num>
  <w:num w:numId="18">
    <w:abstractNumId w:val="4"/>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32F5"/>
    <w:rsid w:val="000240AB"/>
    <w:rsid w:val="0002562F"/>
    <w:rsid w:val="00025762"/>
    <w:rsid w:val="0002685B"/>
    <w:rsid w:val="000322E0"/>
    <w:rsid w:val="00032C2A"/>
    <w:rsid w:val="00034CAC"/>
    <w:rsid w:val="000734FA"/>
    <w:rsid w:val="00073D73"/>
    <w:rsid w:val="00075DED"/>
    <w:rsid w:val="00076A36"/>
    <w:rsid w:val="000957F2"/>
    <w:rsid w:val="000A3BDC"/>
    <w:rsid w:val="000E170E"/>
    <w:rsid w:val="0013591C"/>
    <w:rsid w:val="001443C4"/>
    <w:rsid w:val="00145EEB"/>
    <w:rsid w:val="001464B0"/>
    <w:rsid w:val="00160F6B"/>
    <w:rsid w:val="001745DC"/>
    <w:rsid w:val="001D289D"/>
    <w:rsid w:val="001E3F2C"/>
    <w:rsid w:val="001E49A9"/>
    <w:rsid w:val="001F16E0"/>
    <w:rsid w:val="001F2688"/>
    <w:rsid w:val="001F317D"/>
    <w:rsid w:val="00207439"/>
    <w:rsid w:val="00212BA0"/>
    <w:rsid w:val="00213C3C"/>
    <w:rsid w:val="00221D55"/>
    <w:rsid w:val="00227DE4"/>
    <w:rsid w:val="00241056"/>
    <w:rsid w:val="002414FB"/>
    <w:rsid w:val="00243696"/>
    <w:rsid w:val="00255924"/>
    <w:rsid w:val="00256C74"/>
    <w:rsid w:val="002633E6"/>
    <w:rsid w:val="00265724"/>
    <w:rsid w:val="002675D7"/>
    <w:rsid w:val="00273EEE"/>
    <w:rsid w:val="00277B0C"/>
    <w:rsid w:val="00283E9C"/>
    <w:rsid w:val="002872ED"/>
    <w:rsid w:val="002927D3"/>
    <w:rsid w:val="00294DF4"/>
    <w:rsid w:val="002C4F50"/>
    <w:rsid w:val="002C5760"/>
    <w:rsid w:val="002C6876"/>
    <w:rsid w:val="002C79CE"/>
    <w:rsid w:val="002C7B99"/>
    <w:rsid w:val="002D31EF"/>
    <w:rsid w:val="002D3791"/>
    <w:rsid w:val="002D57EA"/>
    <w:rsid w:val="002E0DB9"/>
    <w:rsid w:val="002F54A3"/>
    <w:rsid w:val="00342B21"/>
    <w:rsid w:val="00343D8A"/>
    <w:rsid w:val="003452A5"/>
    <w:rsid w:val="003505AC"/>
    <w:rsid w:val="003510BB"/>
    <w:rsid w:val="0036563E"/>
    <w:rsid w:val="00376E24"/>
    <w:rsid w:val="00383357"/>
    <w:rsid w:val="00397C44"/>
    <w:rsid w:val="003A660F"/>
    <w:rsid w:val="003C3801"/>
    <w:rsid w:val="003D3DB4"/>
    <w:rsid w:val="003D4EFB"/>
    <w:rsid w:val="003D67F5"/>
    <w:rsid w:val="003E244E"/>
    <w:rsid w:val="003F2DBD"/>
    <w:rsid w:val="003F3865"/>
    <w:rsid w:val="004112CA"/>
    <w:rsid w:val="004118EA"/>
    <w:rsid w:val="00411D73"/>
    <w:rsid w:val="00415A3C"/>
    <w:rsid w:val="0043177A"/>
    <w:rsid w:val="004371BB"/>
    <w:rsid w:val="00464FB6"/>
    <w:rsid w:val="00466CD4"/>
    <w:rsid w:val="00467D6B"/>
    <w:rsid w:val="00490D85"/>
    <w:rsid w:val="004A215D"/>
    <w:rsid w:val="004B3031"/>
    <w:rsid w:val="004C44B8"/>
    <w:rsid w:val="004D0BF0"/>
    <w:rsid w:val="004D2D10"/>
    <w:rsid w:val="004E4F45"/>
    <w:rsid w:val="004F5009"/>
    <w:rsid w:val="004F6805"/>
    <w:rsid w:val="00547A32"/>
    <w:rsid w:val="00552A37"/>
    <w:rsid w:val="005624E0"/>
    <w:rsid w:val="00571CED"/>
    <w:rsid w:val="005850DE"/>
    <w:rsid w:val="00586399"/>
    <w:rsid w:val="005A1CA9"/>
    <w:rsid w:val="005C026D"/>
    <w:rsid w:val="005D41A2"/>
    <w:rsid w:val="005F6538"/>
    <w:rsid w:val="00602446"/>
    <w:rsid w:val="00604491"/>
    <w:rsid w:val="0061390D"/>
    <w:rsid w:val="00616792"/>
    <w:rsid w:val="0061695B"/>
    <w:rsid w:val="0064517F"/>
    <w:rsid w:val="00661CA7"/>
    <w:rsid w:val="006716BB"/>
    <w:rsid w:val="00680D7D"/>
    <w:rsid w:val="00685D23"/>
    <w:rsid w:val="00697451"/>
    <w:rsid w:val="006A6520"/>
    <w:rsid w:val="006B67DD"/>
    <w:rsid w:val="006B767D"/>
    <w:rsid w:val="006D7082"/>
    <w:rsid w:val="00706812"/>
    <w:rsid w:val="00706CD4"/>
    <w:rsid w:val="00707D74"/>
    <w:rsid w:val="00710D0D"/>
    <w:rsid w:val="00715954"/>
    <w:rsid w:val="00720D79"/>
    <w:rsid w:val="00725C52"/>
    <w:rsid w:val="0075066E"/>
    <w:rsid w:val="00756CC3"/>
    <w:rsid w:val="00784178"/>
    <w:rsid w:val="007A6764"/>
    <w:rsid w:val="007C0024"/>
    <w:rsid w:val="007C6681"/>
    <w:rsid w:val="007C6727"/>
    <w:rsid w:val="007D39D5"/>
    <w:rsid w:val="008040A2"/>
    <w:rsid w:val="008051C9"/>
    <w:rsid w:val="0080648C"/>
    <w:rsid w:val="008174C4"/>
    <w:rsid w:val="00822DA4"/>
    <w:rsid w:val="00831D95"/>
    <w:rsid w:val="00836A9A"/>
    <w:rsid w:val="0084585D"/>
    <w:rsid w:val="0085387F"/>
    <w:rsid w:val="00855D7B"/>
    <w:rsid w:val="00857BBD"/>
    <w:rsid w:val="008960EC"/>
    <w:rsid w:val="00897708"/>
    <w:rsid w:val="008F0BD5"/>
    <w:rsid w:val="00927E2D"/>
    <w:rsid w:val="0093485F"/>
    <w:rsid w:val="00936481"/>
    <w:rsid w:val="0094244D"/>
    <w:rsid w:val="0095125C"/>
    <w:rsid w:val="00954EA8"/>
    <w:rsid w:val="00975AFF"/>
    <w:rsid w:val="0098259A"/>
    <w:rsid w:val="0098573C"/>
    <w:rsid w:val="00995460"/>
    <w:rsid w:val="009962C0"/>
    <w:rsid w:val="00997D92"/>
    <w:rsid w:val="009A4603"/>
    <w:rsid w:val="009A74DD"/>
    <w:rsid w:val="009B2E58"/>
    <w:rsid w:val="009C0043"/>
    <w:rsid w:val="009C5AE3"/>
    <w:rsid w:val="009D5E5A"/>
    <w:rsid w:val="009E295E"/>
    <w:rsid w:val="009F2B59"/>
    <w:rsid w:val="00A0620E"/>
    <w:rsid w:val="00A11B9E"/>
    <w:rsid w:val="00A43454"/>
    <w:rsid w:val="00A65FCE"/>
    <w:rsid w:val="00AD0C4D"/>
    <w:rsid w:val="00AD5EBB"/>
    <w:rsid w:val="00AE6ED4"/>
    <w:rsid w:val="00B00932"/>
    <w:rsid w:val="00B12F9D"/>
    <w:rsid w:val="00B13135"/>
    <w:rsid w:val="00B21F95"/>
    <w:rsid w:val="00B2565D"/>
    <w:rsid w:val="00B25AD4"/>
    <w:rsid w:val="00B2638B"/>
    <w:rsid w:val="00B4006E"/>
    <w:rsid w:val="00B61CDC"/>
    <w:rsid w:val="00B75958"/>
    <w:rsid w:val="00B777E7"/>
    <w:rsid w:val="00B9420F"/>
    <w:rsid w:val="00BA1D14"/>
    <w:rsid w:val="00BB195B"/>
    <w:rsid w:val="00BB4AF1"/>
    <w:rsid w:val="00BB69F2"/>
    <w:rsid w:val="00C022F2"/>
    <w:rsid w:val="00C04D2B"/>
    <w:rsid w:val="00C054AE"/>
    <w:rsid w:val="00C058D8"/>
    <w:rsid w:val="00C22B44"/>
    <w:rsid w:val="00C2690C"/>
    <w:rsid w:val="00C3303D"/>
    <w:rsid w:val="00C33B8C"/>
    <w:rsid w:val="00C3424D"/>
    <w:rsid w:val="00C44018"/>
    <w:rsid w:val="00C64F34"/>
    <w:rsid w:val="00C66EFE"/>
    <w:rsid w:val="00C70A09"/>
    <w:rsid w:val="00C72E7B"/>
    <w:rsid w:val="00C922E3"/>
    <w:rsid w:val="00C96208"/>
    <w:rsid w:val="00CA2450"/>
    <w:rsid w:val="00CA6DF3"/>
    <w:rsid w:val="00CB1698"/>
    <w:rsid w:val="00CB2723"/>
    <w:rsid w:val="00CC5421"/>
    <w:rsid w:val="00CD2FB9"/>
    <w:rsid w:val="00CD7E49"/>
    <w:rsid w:val="00CE494B"/>
    <w:rsid w:val="00D043F9"/>
    <w:rsid w:val="00D4263B"/>
    <w:rsid w:val="00D51D60"/>
    <w:rsid w:val="00D8176D"/>
    <w:rsid w:val="00D8522F"/>
    <w:rsid w:val="00DB3393"/>
    <w:rsid w:val="00DB6C00"/>
    <w:rsid w:val="00DB71BE"/>
    <w:rsid w:val="00DB77C9"/>
    <w:rsid w:val="00DC0C1A"/>
    <w:rsid w:val="00DC13A0"/>
    <w:rsid w:val="00E02465"/>
    <w:rsid w:val="00E3643A"/>
    <w:rsid w:val="00E43DBD"/>
    <w:rsid w:val="00E57BD6"/>
    <w:rsid w:val="00E7430C"/>
    <w:rsid w:val="00E821F7"/>
    <w:rsid w:val="00E832A3"/>
    <w:rsid w:val="00E976A4"/>
    <w:rsid w:val="00EB3DD0"/>
    <w:rsid w:val="00EC23D2"/>
    <w:rsid w:val="00EC3F08"/>
    <w:rsid w:val="00ED7F00"/>
    <w:rsid w:val="00EF32F1"/>
    <w:rsid w:val="00F00B45"/>
    <w:rsid w:val="00F049DD"/>
    <w:rsid w:val="00F1173D"/>
    <w:rsid w:val="00F132BC"/>
    <w:rsid w:val="00F13B0F"/>
    <w:rsid w:val="00F13F41"/>
    <w:rsid w:val="00F14205"/>
    <w:rsid w:val="00F14279"/>
    <w:rsid w:val="00F157CC"/>
    <w:rsid w:val="00F20500"/>
    <w:rsid w:val="00F32CA1"/>
    <w:rsid w:val="00F4079F"/>
    <w:rsid w:val="00F477FC"/>
    <w:rsid w:val="00F61785"/>
    <w:rsid w:val="00FA724A"/>
    <w:rsid w:val="00FB4F76"/>
    <w:rsid w:val="00FC283B"/>
    <w:rsid w:val="00FC3170"/>
    <w:rsid w:val="00FC6295"/>
    <w:rsid w:val="00FC7B4C"/>
    <w:rsid w:val="00FD1DE8"/>
    <w:rsid w:val="00FE1AC3"/>
    <w:rsid w:val="00FE5B78"/>
    <w:rsid w:val="00FF011B"/>
    <w:rsid w:val="00FF0493"/>
    <w:rsid w:val="00FF283B"/>
    <w:rsid w:val="3CFD7C94"/>
    <w:rsid w:val="6EF8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R_NFIP@water.ca.gov" TargetMode="Externa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0815-9F52-4C48-99CE-F01F5C89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5</cp:revision>
  <dcterms:created xsi:type="dcterms:W3CDTF">2021-05-06T07:10:00Z</dcterms:created>
  <dcterms:modified xsi:type="dcterms:W3CDTF">2021-05-06T15:01:00Z</dcterms:modified>
</cp:coreProperties>
</file>