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EC2A7" w14:textId="7F00DE5D" w:rsidR="0051005F" w:rsidRPr="0051005F" w:rsidRDefault="0051005F" w:rsidP="0051005F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eastAsia="Calibri" w:hAnsi="Century Gothic" w:cs="Times New Roman"/>
          <w:kern w:val="0"/>
          <w:sz w:val="22"/>
          <w:szCs w:val="22"/>
          <w14:ligatures w14:val="none"/>
        </w:rPr>
      </w:pPr>
      <w:r w:rsidRPr="0051005F">
        <w:rPr>
          <w:rFonts w:ascii="Century Gothic" w:eastAsia="Calibri" w:hAnsi="Century Gothic" w:cs="Arial"/>
          <w:b/>
          <w:kern w:val="0"/>
          <w:sz w:val="22"/>
          <w:szCs w:val="22"/>
          <w14:ligatures w14:val="none"/>
        </w:rPr>
        <w:t>Assessor’s Parcel Map –</w:t>
      </w:r>
      <w:r w:rsidRPr="0051005F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 xml:space="preserve"> Provide a copy of relevant assessor’s parcel maps, with </w:t>
      </w:r>
      <w:r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 xml:space="preserve">the </w:t>
      </w:r>
      <w:r w:rsidRPr="0051005F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>project parcels highlighted and full parcel numbers clearly labeled.</w:t>
      </w:r>
      <w:r w:rsidRPr="0051005F">
        <w:rPr>
          <w:rFonts w:ascii="Century Gothic" w:eastAsia="Calibri" w:hAnsi="Century Gothic" w:cs="Times New Roman"/>
          <w:kern w:val="0"/>
          <w:sz w:val="22"/>
          <w:szCs w:val="22"/>
          <w14:ligatures w14:val="none"/>
        </w:rPr>
        <w:t xml:space="preserve"> </w:t>
      </w:r>
      <w:r w:rsidRPr="0051005F">
        <w:rPr>
          <w:rFonts w:ascii="Century Gothic" w:eastAsia="Calibri" w:hAnsi="Century Gothic" w:cs="Times New Roman"/>
          <w:kern w:val="0"/>
          <w:sz w:val="22"/>
          <w:szCs w:val="22"/>
          <w14:ligatures w14:val="none"/>
        </w:rPr>
        <w:t>A printout from a GIS-based</w:t>
      </w:r>
      <w:r>
        <w:rPr>
          <w:rFonts w:ascii="Century Gothic" w:eastAsia="Calibri" w:hAnsi="Century Gothic" w:cs="Times New Roman"/>
          <w:kern w:val="0"/>
          <w:sz w:val="22"/>
          <w:szCs w:val="22"/>
          <w14:ligatures w14:val="none"/>
        </w:rPr>
        <w:t>,</w:t>
      </w:r>
      <w:r w:rsidRPr="0051005F">
        <w:rPr>
          <w:rFonts w:ascii="Century Gothic" w:eastAsia="Calibri" w:hAnsi="Century Gothic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Century Gothic" w:eastAsia="Calibri" w:hAnsi="Century Gothic" w:cs="Times New Roman"/>
          <w:kern w:val="0"/>
          <w:sz w:val="22"/>
          <w:szCs w:val="22"/>
          <w14:ligatures w14:val="none"/>
        </w:rPr>
        <w:t>online par</w:t>
      </w:r>
      <w:r w:rsidRPr="0051005F">
        <w:rPr>
          <w:rFonts w:ascii="Century Gothic" w:eastAsia="Calibri" w:hAnsi="Century Gothic" w:cs="Times New Roman"/>
          <w:kern w:val="0"/>
          <w:sz w:val="22"/>
          <w:szCs w:val="22"/>
          <w14:ligatures w14:val="none"/>
        </w:rPr>
        <w:t>cel viewer is acceptable.</w:t>
      </w:r>
    </w:p>
    <w:p w14:paraId="6464847C" w14:textId="77777777" w:rsidR="007A5E6B" w:rsidRDefault="007A5E6B"/>
    <w:sectPr w:rsidR="007A5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C4785"/>
    <w:multiLevelType w:val="hybridMultilevel"/>
    <w:tmpl w:val="648A7FDA"/>
    <w:lvl w:ilvl="0" w:tplc="6CEC00F0">
      <w:start w:val="1"/>
      <w:numFmt w:val="decimal"/>
      <w:lvlText w:val="%1."/>
      <w:lvlJc w:val="left"/>
      <w:pPr>
        <w:ind w:left="468" w:hanging="360"/>
      </w:pPr>
      <w:rPr>
        <w:rFonts w:ascii="Century Gothic" w:eastAsia="Century Gothic" w:hAnsi="Century Gothic" w:cs="Century Gothic" w:hint="default"/>
        <w:b w:val="0"/>
        <w:bCs w:val="0"/>
        <w:spacing w:val="-1"/>
        <w:w w:val="99"/>
        <w:sz w:val="24"/>
        <w:szCs w:val="24"/>
        <w:lang w:val="en-US" w:eastAsia="en-US" w:bidi="en-US"/>
      </w:rPr>
    </w:lvl>
    <w:lvl w:ilvl="1" w:tplc="82C05D8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44107052">
      <w:numFmt w:val="bullet"/>
      <w:lvlText w:val="•"/>
      <w:lvlJc w:val="left"/>
      <w:pPr>
        <w:ind w:left="1904" w:hanging="360"/>
      </w:pPr>
      <w:rPr>
        <w:rFonts w:hint="default"/>
        <w:lang w:val="en-US" w:eastAsia="en-US" w:bidi="en-US"/>
      </w:rPr>
    </w:lvl>
    <w:lvl w:ilvl="3" w:tplc="980C8E2C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en-US"/>
      </w:rPr>
    </w:lvl>
    <w:lvl w:ilvl="4" w:tplc="94CE4A40">
      <w:numFmt w:val="bullet"/>
      <w:lvlText w:val="•"/>
      <w:lvlJc w:val="left"/>
      <w:pPr>
        <w:ind w:left="4073" w:hanging="360"/>
      </w:pPr>
      <w:rPr>
        <w:rFonts w:hint="default"/>
        <w:lang w:val="en-US" w:eastAsia="en-US" w:bidi="en-US"/>
      </w:rPr>
    </w:lvl>
    <w:lvl w:ilvl="5" w:tplc="CCA8C1AE">
      <w:numFmt w:val="bullet"/>
      <w:lvlText w:val="•"/>
      <w:lvlJc w:val="left"/>
      <w:pPr>
        <w:ind w:left="5157" w:hanging="360"/>
      </w:pPr>
      <w:rPr>
        <w:rFonts w:hint="default"/>
        <w:lang w:val="en-US" w:eastAsia="en-US" w:bidi="en-US"/>
      </w:rPr>
    </w:lvl>
    <w:lvl w:ilvl="6" w:tplc="C8B080E8">
      <w:numFmt w:val="bullet"/>
      <w:lvlText w:val="•"/>
      <w:lvlJc w:val="left"/>
      <w:pPr>
        <w:ind w:left="6242" w:hanging="360"/>
      </w:pPr>
      <w:rPr>
        <w:rFonts w:hint="default"/>
        <w:lang w:val="en-US" w:eastAsia="en-US" w:bidi="en-US"/>
      </w:rPr>
    </w:lvl>
    <w:lvl w:ilvl="7" w:tplc="ED7EA25E">
      <w:numFmt w:val="bullet"/>
      <w:lvlText w:val="•"/>
      <w:lvlJc w:val="left"/>
      <w:pPr>
        <w:ind w:left="7326" w:hanging="360"/>
      </w:pPr>
      <w:rPr>
        <w:rFonts w:hint="default"/>
        <w:lang w:val="en-US" w:eastAsia="en-US" w:bidi="en-US"/>
      </w:rPr>
    </w:lvl>
    <w:lvl w:ilvl="8" w:tplc="7C264BE2">
      <w:numFmt w:val="bullet"/>
      <w:lvlText w:val="•"/>
      <w:lvlJc w:val="left"/>
      <w:pPr>
        <w:ind w:left="8411" w:hanging="360"/>
      </w:pPr>
      <w:rPr>
        <w:rFonts w:hint="default"/>
        <w:lang w:val="en-US" w:eastAsia="en-US" w:bidi="en-US"/>
      </w:rPr>
    </w:lvl>
  </w:abstractNum>
  <w:num w:numId="1" w16cid:durableId="1945185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05F"/>
    <w:rsid w:val="002A1B46"/>
    <w:rsid w:val="003C2F7B"/>
    <w:rsid w:val="00406EC7"/>
    <w:rsid w:val="0051005F"/>
    <w:rsid w:val="007A5E6B"/>
    <w:rsid w:val="00A6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0485C"/>
  <w15:chartTrackingRefBased/>
  <w15:docId w15:val="{027278BE-9DAB-4C38-8274-6CEAF507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0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0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0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0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0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00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0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0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0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0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0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0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00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00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00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0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0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Jennifer@CNRA</dc:creator>
  <cp:keywords/>
  <dc:description/>
  <cp:lastModifiedBy>Thomas, Jennifer@CNRA</cp:lastModifiedBy>
  <cp:revision>1</cp:revision>
  <dcterms:created xsi:type="dcterms:W3CDTF">2026-01-27T20:10:00Z</dcterms:created>
  <dcterms:modified xsi:type="dcterms:W3CDTF">2026-01-27T20:13:00Z</dcterms:modified>
</cp:coreProperties>
</file>