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F786A" w14:textId="77777777" w:rsidR="00436F75" w:rsidRDefault="00893DD6" w:rsidP="00B46847">
      <w:pPr>
        <w:spacing w:after="0"/>
        <w:jc w:val="center"/>
        <w:rPr>
          <w:b/>
          <w:bCs/>
          <w:sz w:val="28"/>
          <w:szCs w:val="28"/>
        </w:rPr>
      </w:pPr>
      <w:r>
        <w:rPr>
          <w:b/>
          <w:bCs/>
          <w:sz w:val="28"/>
          <w:szCs w:val="28"/>
        </w:rPr>
        <w:t>Summary</w:t>
      </w:r>
      <w:r w:rsidR="00B46847">
        <w:rPr>
          <w:b/>
          <w:bCs/>
          <w:sz w:val="28"/>
          <w:szCs w:val="28"/>
        </w:rPr>
        <w:t xml:space="preserve"> of State Regulation of Crude Oil Pipelines</w:t>
      </w:r>
      <w:r w:rsidR="00436F75">
        <w:rPr>
          <w:b/>
          <w:bCs/>
          <w:sz w:val="28"/>
          <w:szCs w:val="28"/>
        </w:rPr>
        <w:t xml:space="preserve"> </w:t>
      </w:r>
    </w:p>
    <w:p w14:paraId="528D8624" w14:textId="223C6370" w:rsidR="00B46847" w:rsidRDefault="00436F75" w:rsidP="005A44EE">
      <w:pPr>
        <w:spacing w:after="0"/>
        <w:jc w:val="center"/>
        <w:rPr>
          <w:b/>
          <w:bCs/>
          <w:sz w:val="28"/>
          <w:szCs w:val="28"/>
        </w:rPr>
      </w:pPr>
      <w:r>
        <w:rPr>
          <w:b/>
          <w:bCs/>
          <w:sz w:val="28"/>
          <w:szCs w:val="28"/>
        </w:rPr>
        <w:t>in Santa Barbara County</w:t>
      </w:r>
    </w:p>
    <w:p w14:paraId="400D54CD" w14:textId="3AACC3F6" w:rsidR="00B46847" w:rsidRPr="005A44EE" w:rsidRDefault="005A44EE" w:rsidP="005A44EE">
      <w:pPr>
        <w:jc w:val="center"/>
        <w:rPr>
          <w:sz w:val="24"/>
          <w:szCs w:val="24"/>
        </w:rPr>
      </w:pPr>
      <w:r w:rsidRPr="005A44EE">
        <w:rPr>
          <w:sz w:val="24"/>
          <w:szCs w:val="24"/>
        </w:rPr>
        <w:t>January</w:t>
      </w:r>
      <w:r w:rsidR="008E0997">
        <w:rPr>
          <w:sz w:val="24"/>
          <w:szCs w:val="24"/>
        </w:rPr>
        <w:t xml:space="preserve"> </w:t>
      </w:r>
      <w:r w:rsidR="00E36B3C">
        <w:rPr>
          <w:sz w:val="24"/>
          <w:szCs w:val="24"/>
        </w:rPr>
        <w:t>13</w:t>
      </w:r>
      <w:r w:rsidR="008E0997">
        <w:rPr>
          <w:sz w:val="24"/>
          <w:szCs w:val="24"/>
        </w:rPr>
        <w:t>,</w:t>
      </w:r>
      <w:r w:rsidRPr="005A44EE">
        <w:rPr>
          <w:sz w:val="24"/>
          <w:szCs w:val="24"/>
        </w:rPr>
        <w:t xml:space="preserve"> 2025</w:t>
      </w:r>
    </w:p>
    <w:p w14:paraId="6210EEE3" w14:textId="611F6A2E" w:rsidR="005A44EE" w:rsidRDefault="00EA22A2">
      <w:r>
        <w:br/>
      </w:r>
      <w:r w:rsidR="00B46847" w:rsidRPr="005A44EE">
        <w:t xml:space="preserve">Sable Offshore Corporation is attempting to restart </w:t>
      </w:r>
      <w:r w:rsidR="004B3F7E">
        <w:t>the Santa Ynez Unit oil and gas operation</w:t>
      </w:r>
      <w:r w:rsidR="00B46847" w:rsidRPr="005A44EE">
        <w:t xml:space="preserve"> in Santa Barbara County. </w:t>
      </w:r>
      <w:r w:rsidR="005B5431">
        <w:t>The Santa Ynez Unit includes three offshore platforms in federal waters connected to shore by offshore pipeline</w:t>
      </w:r>
      <w:r w:rsidR="00E00706">
        <w:t>s, onshore pipelines, the Ellwood Pier, mo</w:t>
      </w:r>
      <w:r w:rsidR="0020765A">
        <w:t>o</w:t>
      </w:r>
      <w:r w:rsidR="00E00706">
        <w:t>ring buoys, and the Las Flores Canyon Processing Facility.</w:t>
      </w:r>
      <w:r w:rsidR="008F00B8">
        <w:t xml:space="preserve">  The onshore</w:t>
      </w:r>
      <w:r w:rsidR="00683E11">
        <w:t xml:space="preserve"> pipelines </w:t>
      </w:r>
      <w:r w:rsidR="008F00B8">
        <w:t>include pipelines</w:t>
      </w:r>
      <w:r w:rsidR="00B46847">
        <w:t xml:space="preserve"> identified as CA-324 and CA-325</w:t>
      </w:r>
      <w:r w:rsidR="00635DD9">
        <w:t xml:space="preserve"> that were responsible for the 2015 Refugio Oil Spill</w:t>
      </w:r>
      <w:r w:rsidR="00B46847">
        <w:t>.</w:t>
      </w:r>
      <w:r w:rsidR="00777306">
        <w:t xml:space="preserve"> </w:t>
      </w:r>
    </w:p>
    <w:p w14:paraId="12DDB080" w14:textId="00BDB600" w:rsidR="00B46847" w:rsidRDefault="00B46847" w:rsidP="008E0997">
      <w:pPr>
        <w:spacing w:after="360"/>
      </w:pPr>
      <w:r>
        <w:t xml:space="preserve">This </w:t>
      </w:r>
      <w:r w:rsidR="00893DD6">
        <w:t>summary outlines</w:t>
      </w:r>
      <w:r>
        <w:t xml:space="preserve"> the many state agencies that oversee </w:t>
      </w:r>
      <w:r w:rsidR="00A91CC4">
        <w:t xml:space="preserve">the Santa Ynez Unit operations, including </w:t>
      </w:r>
      <w:r>
        <w:t>oil pipeline construction, maintenance and operations</w:t>
      </w:r>
      <w:r w:rsidR="00844CB3">
        <w:t>,</w:t>
      </w:r>
      <w:r>
        <w:t xml:space="preserve"> </w:t>
      </w:r>
      <w:r w:rsidR="00844CB3">
        <w:t xml:space="preserve">which would </w:t>
      </w:r>
      <w:r>
        <w:t xml:space="preserve">need to approve </w:t>
      </w:r>
      <w:r w:rsidR="00553CB9">
        <w:t>various actions</w:t>
      </w:r>
      <w:r>
        <w:t xml:space="preserve"> to </w:t>
      </w:r>
      <w:r w:rsidR="00D04FDA">
        <w:t xml:space="preserve">allow </w:t>
      </w:r>
      <w:r w:rsidR="00202668">
        <w:t>these pipelines</w:t>
      </w:r>
      <w:r w:rsidR="00D04FDA">
        <w:t xml:space="preserve"> to restart.</w:t>
      </w:r>
      <w:r w:rsidR="00436F75">
        <w:t xml:space="preserve"> </w:t>
      </w:r>
      <w:r w:rsidR="005F343C">
        <w:t>This summary</w:t>
      </w:r>
      <w:r w:rsidR="00436F75">
        <w:t xml:space="preserve"> has been assembled to build public understanding of the regulatory </w:t>
      </w:r>
      <w:r w:rsidR="00EE45FF">
        <w:t xml:space="preserve">processes </w:t>
      </w:r>
      <w:r w:rsidR="00202668">
        <w:t>over these pipelines.</w:t>
      </w:r>
    </w:p>
    <w:p w14:paraId="1096DBAE" w14:textId="77587365" w:rsidR="00B46847" w:rsidRPr="005A44EE" w:rsidRDefault="00893DD6">
      <w:pPr>
        <w:rPr>
          <w:b/>
          <w:bCs/>
          <w:sz w:val="28"/>
          <w:szCs w:val="28"/>
        </w:rPr>
      </w:pPr>
      <w:r w:rsidRPr="005A44EE">
        <w:rPr>
          <w:b/>
          <w:bCs/>
          <w:sz w:val="28"/>
          <w:szCs w:val="28"/>
        </w:rPr>
        <w:t>Overview</w:t>
      </w:r>
    </w:p>
    <w:p w14:paraId="68B410E8" w14:textId="2783170A" w:rsidR="00777306" w:rsidRDefault="00893DD6" w:rsidP="00893DD6">
      <w:r>
        <w:t>California’s lands and offshore water</w:t>
      </w:r>
      <w:r w:rsidR="000D78F9">
        <w:t>s</w:t>
      </w:r>
      <w:r>
        <w:t xml:space="preserve"> </w:t>
      </w:r>
      <w:r w:rsidR="009E6241">
        <w:t>have hosted</w:t>
      </w:r>
      <w:r>
        <w:t xml:space="preserve"> significant crude oil extraction</w:t>
      </w:r>
      <w:r w:rsidR="009E6241">
        <w:t xml:space="preserve"> for well over a century</w:t>
      </w:r>
      <w:r>
        <w:t xml:space="preserve">. </w:t>
      </w:r>
      <w:r w:rsidR="009E6241">
        <w:t>Since</w:t>
      </w:r>
      <w:r>
        <w:t xml:space="preserve"> the mid-1980s</w:t>
      </w:r>
      <w:r w:rsidR="005A44EE">
        <w:t>, however,</w:t>
      </w:r>
      <w:r>
        <w:t xml:space="preserve"> crude oil extraction has declined </w:t>
      </w:r>
      <w:r w:rsidR="009E6241">
        <w:t>each year</w:t>
      </w:r>
      <w:r>
        <w:t xml:space="preserve"> largely due to decreasing levels of easily accessible crude oil.  </w:t>
      </w:r>
    </w:p>
    <w:p w14:paraId="2971DB85" w14:textId="72771D95" w:rsidR="00893DD6" w:rsidRDefault="00893DD6" w:rsidP="00893DD6">
      <w:r w:rsidRPr="00C235B4">
        <w:t xml:space="preserve">Today, the state has three active crude oil/petroleum extraction platforms off its coast in state waters </w:t>
      </w:r>
      <w:r w:rsidRPr="008F5245">
        <w:t>and eight active platforms in federal waters</w:t>
      </w:r>
      <w:r>
        <w:t>.</w:t>
      </w:r>
      <w:r w:rsidR="005A44EE">
        <w:t xml:space="preserve"> </w:t>
      </w:r>
      <w:r>
        <w:t xml:space="preserve">These platforms are connected to the shore via undersea pipelines that </w:t>
      </w:r>
      <w:r w:rsidR="009E6241">
        <w:t>transport</w:t>
      </w:r>
      <w:r>
        <w:t xml:space="preserve"> crude oil from the offshore platforms to onshore facilities that process the oil for sale. This oil is eventually transported to refineries to be </w:t>
      </w:r>
      <w:r w:rsidR="009E6241">
        <w:t>converted</w:t>
      </w:r>
      <w:r>
        <w:t xml:space="preserve"> into products such as gasoline and diesel fuel. </w:t>
      </w:r>
    </w:p>
    <w:p w14:paraId="0FFF4001" w14:textId="7FD5FEA5" w:rsidR="00893DD6" w:rsidRDefault="00893DD6" w:rsidP="008E0997">
      <w:pPr>
        <w:spacing w:after="360"/>
      </w:pPr>
      <w:r>
        <w:t xml:space="preserve">California state government enforces a broad set of </w:t>
      </w:r>
      <w:r w:rsidR="009E6241">
        <w:t xml:space="preserve">laws and </w:t>
      </w:r>
      <w:r>
        <w:t xml:space="preserve">regulations over </w:t>
      </w:r>
      <w:r w:rsidR="00437C5A">
        <w:t>many aspects</w:t>
      </w:r>
      <w:r>
        <w:t xml:space="preserve"> of </w:t>
      </w:r>
      <w:r w:rsidR="009E6241">
        <w:t xml:space="preserve">crude oil </w:t>
      </w:r>
      <w:r>
        <w:t>infrastructure</w:t>
      </w:r>
      <w:r w:rsidR="009E6241">
        <w:t xml:space="preserve">. This includes oversight </w:t>
      </w:r>
      <w:r w:rsidR="000D78F9">
        <w:t xml:space="preserve">of </w:t>
      </w:r>
      <w:r w:rsidR="009E6241">
        <w:t>the extraction, transport</w:t>
      </w:r>
      <w:r w:rsidR="005A44EE">
        <w:t>,</w:t>
      </w:r>
      <w:r w:rsidR="009E6241">
        <w:t xml:space="preserve"> and refining of crude oil. </w:t>
      </w:r>
      <w:r>
        <w:t xml:space="preserve"> </w:t>
      </w:r>
      <w:r w:rsidR="009E6241">
        <w:t xml:space="preserve">These laws and regulations exist to protect </w:t>
      </w:r>
      <w:r>
        <w:t>public health and safety</w:t>
      </w:r>
      <w:r w:rsidR="009E6241">
        <w:t xml:space="preserve"> and to safeguard </w:t>
      </w:r>
      <w:r>
        <w:t>California’s natural resources and environment</w:t>
      </w:r>
      <w:r w:rsidR="009E6241">
        <w:t>.</w:t>
      </w:r>
    </w:p>
    <w:p w14:paraId="422777D6" w14:textId="48135952" w:rsidR="008E0997" w:rsidRPr="008E0997" w:rsidRDefault="008E0997" w:rsidP="00893DD6">
      <w:pPr>
        <w:rPr>
          <w:b/>
          <w:bCs/>
          <w:sz w:val="28"/>
          <w:szCs w:val="28"/>
        </w:rPr>
      </w:pPr>
      <w:r w:rsidRPr="008E0997">
        <w:rPr>
          <w:b/>
          <w:bCs/>
          <w:sz w:val="28"/>
          <w:szCs w:val="28"/>
        </w:rPr>
        <w:t xml:space="preserve">Oversight </w:t>
      </w:r>
      <w:r>
        <w:rPr>
          <w:b/>
          <w:bCs/>
          <w:sz w:val="28"/>
          <w:szCs w:val="28"/>
        </w:rPr>
        <w:t>By Agency</w:t>
      </w:r>
    </w:p>
    <w:p w14:paraId="2FE7ADAA" w14:textId="4F970A1C" w:rsidR="008447CE" w:rsidRDefault="000D78F9" w:rsidP="00893DD6">
      <w:r>
        <w:t xml:space="preserve">Multiple </w:t>
      </w:r>
      <w:r w:rsidR="009E6241">
        <w:t xml:space="preserve">state agencies regulate </w:t>
      </w:r>
      <w:r w:rsidR="00777306">
        <w:t xml:space="preserve">the </w:t>
      </w:r>
      <w:r w:rsidR="009E6241">
        <w:t xml:space="preserve">pipelines owned and operated </w:t>
      </w:r>
      <w:r w:rsidR="005A44EE">
        <w:t xml:space="preserve">(pipelines CA-324 and CA-325) </w:t>
      </w:r>
      <w:r w:rsidR="009E6241">
        <w:t xml:space="preserve">by Sable Offshore Corporation in Santa Barbara County </w:t>
      </w:r>
      <w:r w:rsidR="00777306">
        <w:t xml:space="preserve">that the company is attempting to restart. </w:t>
      </w:r>
      <w:r w:rsidR="00F3420F">
        <w:t xml:space="preserve">Each of these state entities has specific authorities and obligations </w:t>
      </w:r>
      <w:r w:rsidR="00F67364">
        <w:t>over these pipelines that is detailed in state law</w:t>
      </w:r>
      <w:r w:rsidR="008447CE">
        <w:t xml:space="preserve"> and discharges these responsibilities through </w:t>
      </w:r>
      <w:r w:rsidR="00317174">
        <w:t xml:space="preserve">regulatory and oversight processes. </w:t>
      </w:r>
    </w:p>
    <w:p w14:paraId="3F18DCB6" w14:textId="4A1D63ED" w:rsidR="009E6241" w:rsidRPr="005A44EE" w:rsidRDefault="00317174" w:rsidP="00893DD6">
      <w:pPr>
        <w:rPr>
          <w:b/>
          <w:bCs/>
        </w:rPr>
      </w:pPr>
      <w:r>
        <w:t xml:space="preserve">The state entities </w:t>
      </w:r>
      <w:r w:rsidR="008447CE">
        <w:t xml:space="preserve">with oversight over these pipelines </w:t>
      </w:r>
      <w:r>
        <w:t>include (in al</w:t>
      </w:r>
      <w:r w:rsidR="0012322C">
        <w:t xml:space="preserve">phabetical order): </w:t>
      </w:r>
    </w:p>
    <w:p w14:paraId="5AD564B4" w14:textId="6951BEEE" w:rsidR="009E6241" w:rsidRDefault="009E6241" w:rsidP="005A44EE">
      <w:pPr>
        <w:pStyle w:val="ListParagraph"/>
        <w:numPr>
          <w:ilvl w:val="0"/>
          <w:numId w:val="12"/>
        </w:numPr>
      </w:pPr>
      <w:r>
        <w:t>California Coastal Commission</w:t>
      </w:r>
    </w:p>
    <w:p w14:paraId="250B9003" w14:textId="77777777" w:rsidR="00777306" w:rsidRDefault="00777306" w:rsidP="00777306">
      <w:pPr>
        <w:pStyle w:val="ListParagraph"/>
        <w:numPr>
          <w:ilvl w:val="0"/>
          <w:numId w:val="12"/>
        </w:numPr>
      </w:pPr>
      <w:r>
        <w:t>California Department of Conservation, California Geologic Energy Management Division (</w:t>
      </w:r>
      <w:proofErr w:type="spellStart"/>
      <w:r>
        <w:t>CalGEM</w:t>
      </w:r>
      <w:proofErr w:type="spellEnd"/>
      <w:r>
        <w:t>)</w:t>
      </w:r>
    </w:p>
    <w:p w14:paraId="48ECC94B" w14:textId="26BC3315" w:rsidR="00777306" w:rsidRPr="00510B89" w:rsidRDefault="00777306" w:rsidP="00777306">
      <w:pPr>
        <w:pStyle w:val="ListParagraph"/>
        <w:numPr>
          <w:ilvl w:val="0"/>
          <w:numId w:val="12"/>
        </w:numPr>
      </w:pPr>
      <w:r w:rsidRPr="00510B89">
        <w:t>California Department of Fish and Wildlife</w:t>
      </w:r>
      <w:r w:rsidR="00A92B30">
        <w:t xml:space="preserve"> (CDFW)</w:t>
      </w:r>
      <w:r w:rsidRPr="00510B89">
        <w:t xml:space="preserve">, </w:t>
      </w:r>
      <w:r w:rsidR="00A92B30">
        <w:t xml:space="preserve">including the </w:t>
      </w:r>
      <w:r w:rsidRPr="00510B89">
        <w:t>Office of</w:t>
      </w:r>
      <w:r w:rsidR="009C1E95">
        <w:t xml:space="preserve"> </w:t>
      </w:r>
      <w:r w:rsidRPr="00510B89">
        <w:t>Spill Prevention and Response</w:t>
      </w:r>
      <w:r w:rsidR="005A44EE" w:rsidRPr="00510B89">
        <w:t xml:space="preserve"> (OSPR)</w:t>
      </w:r>
    </w:p>
    <w:p w14:paraId="3EF31DF5" w14:textId="0AE0095F" w:rsidR="00777306" w:rsidRDefault="00777306" w:rsidP="00777306">
      <w:pPr>
        <w:pStyle w:val="ListParagraph"/>
        <w:numPr>
          <w:ilvl w:val="0"/>
          <w:numId w:val="12"/>
        </w:numPr>
      </w:pPr>
      <w:r>
        <w:t>California Department of Forestry and Fire Protection (CAL FIRE), Office of the State Fire Marshal</w:t>
      </w:r>
      <w:r w:rsidR="005A44EE">
        <w:t xml:space="preserve"> (OSFM)</w:t>
      </w:r>
    </w:p>
    <w:p w14:paraId="6A0B80DC" w14:textId="77777777" w:rsidR="00777306" w:rsidRDefault="00777306" w:rsidP="00777306">
      <w:pPr>
        <w:pStyle w:val="ListParagraph"/>
        <w:numPr>
          <w:ilvl w:val="0"/>
          <w:numId w:val="12"/>
        </w:numPr>
      </w:pPr>
      <w:r>
        <w:t>California Department of Parks and Recreation (State Parks)</w:t>
      </w:r>
    </w:p>
    <w:p w14:paraId="4AD51A9D" w14:textId="4FD4447F" w:rsidR="0012322C" w:rsidRDefault="0012322C" w:rsidP="0012322C">
      <w:pPr>
        <w:pStyle w:val="ListParagraph"/>
        <w:numPr>
          <w:ilvl w:val="0"/>
          <w:numId w:val="12"/>
        </w:numPr>
      </w:pPr>
      <w:r>
        <w:t xml:space="preserve">Central Coast Regional Water </w:t>
      </w:r>
      <w:r w:rsidR="0051288C">
        <w:t>Quality</w:t>
      </w:r>
      <w:r>
        <w:t xml:space="preserve"> Control Board</w:t>
      </w:r>
    </w:p>
    <w:p w14:paraId="6C6AD1E6" w14:textId="1D54A4D0" w:rsidR="0012322C" w:rsidRDefault="0012322C" w:rsidP="0012322C">
      <w:pPr>
        <w:pStyle w:val="ListParagraph"/>
        <w:numPr>
          <w:ilvl w:val="0"/>
          <w:numId w:val="12"/>
        </w:numPr>
      </w:pPr>
      <w:r>
        <w:t xml:space="preserve">Central Valley Regional Water </w:t>
      </w:r>
      <w:r w:rsidR="0051288C">
        <w:t>Quality</w:t>
      </w:r>
      <w:r>
        <w:t xml:space="preserve"> Control Board</w:t>
      </w:r>
    </w:p>
    <w:p w14:paraId="792340F2" w14:textId="5BE25036" w:rsidR="009E6241" w:rsidRDefault="009E6241" w:rsidP="005A44EE">
      <w:pPr>
        <w:pStyle w:val="ListParagraph"/>
        <w:numPr>
          <w:ilvl w:val="0"/>
          <w:numId w:val="12"/>
        </w:numPr>
      </w:pPr>
      <w:r>
        <w:t>State Lands Commission</w:t>
      </w:r>
    </w:p>
    <w:p w14:paraId="71A5164D" w14:textId="6DAEFE61" w:rsidR="005A44EE" w:rsidRDefault="00A9082C">
      <w:r>
        <w:t xml:space="preserve">These state entities, </w:t>
      </w:r>
      <w:proofErr w:type="gramStart"/>
      <w:r>
        <w:t>with the exception of</w:t>
      </w:r>
      <w:proofErr w:type="gramEnd"/>
      <w:r>
        <w:t xml:space="preserve"> the two regional </w:t>
      </w:r>
      <w:r w:rsidR="008447CE">
        <w:t xml:space="preserve">Water </w:t>
      </w:r>
      <w:r w:rsidR="009F631A">
        <w:t>Quality</w:t>
      </w:r>
      <w:r w:rsidR="008E0997">
        <w:t xml:space="preserve"> </w:t>
      </w:r>
      <w:r w:rsidR="008447CE">
        <w:t>Control Boards</w:t>
      </w:r>
      <w:r>
        <w:t xml:space="preserve">, </w:t>
      </w:r>
      <w:r w:rsidR="001451E6">
        <w:t>exist within the California Natural Resources Agenc</w:t>
      </w:r>
      <w:r w:rsidR="005A44EE">
        <w:t>y</w:t>
      </w:r>
      <w:r w:rsidR="001451E6">
        <w:t xml:space="preserve">. The regional Water Boards </w:t>
      </w:r>
      <w:r w:rsidR="001D6EE9">
        <w:t>fall under the umbrella of</w:t>
      </w:r>
      <w:r w:rsidR="001451E6">
        <w:t xml:space="preserve"> the California Environmental Protection Agency. </w:t>
      </w:r>
    </w:p>
    <w:p w14:paraId="250EE670" w14:textId="7CD1A0C8" w:rsidR="00777306" w:rsidRPr="00816AB2" w:rsidRDefault="00D60DC3" w:rsidP="008E0997">
      <w:pPr>
        <w:spacing w:after="360"/>
      </w:pPr>
      <w:r>
        <w:t xml:space="preserve">Below is a </w:t>
      </w:r>
      <w:r w:rsidR="00EF6238">
        <w:t xml:space="preserve">short </w:t>
      </w:r>
      <w:r>
        <w:t xml:space="preserve">summary of </w:t>
      </w:r>
      <w:r w:rsidR="000D78F9">
        <w:t>the referenced</w:t>
      </w:r>
      <w:r w:rsidR="00EF6238">
        <w:t xml:space="preserve"> state entities </w:t>
      </w:r>
      <w:r w:rsidR="000D78F9">
        <w:t>with</w:t>
      </w:r>
      <w:r w:rsidR="00EF6238">
        <w:t xml:space="preserve"> regulatory oversight over these pipelines. </w:t>
      </w:r>
    </w:p>
    <w:p w14:paraId="2A7A4DDC" w14:textId="47DA96E0" w:rsidR="009142C1" w:rsidRPr="00D20D31" w:rsidRDefault="009142C1" w:rsidP="00816AB2">
      <w:r w:rsidRPr="1B8821D0">
        <w:rPr>
          <w:b/>
          <w:bCs/>
        </w:rPr>
        <w:t>CALIFORNIA COASTAL COMMISSION</w:t>
      </w:r>
      <w:r>
        <w:br/>
      </w:r>
      <w:r w:rsidR="004233E9">
        <w:rPr>
          <w:i/>
          <w:iCs/>
          <w:color w:val="3A7C22" w:themeColor="accent6" w:themeShade="BF"/>
        </w:rPr>
        <w:t>Issues</w:t>
      </w:r>
      <w:r w:rsidR="00D20D31" w:rsidRPr="1B8821D0">
        <w:rPr>
          <w:i/>
          <w:iCs/>
          <w:color w:val="3A7C22" w:themeColor="accent6" w:themeShade="BF"/>
        </w:rPr>
        <w:t xml:space="preserve"> permits for </w:t>
      </w:r>
      <w:r w:rsidR="004277AA">
        <w:rPr>
          <w:i/>
          <w:iCs/>
          <w:color w:val="3A7C22" w:themeColor="accent6" w:themeShade="BF"/>
        </w:rPr>
        <w:t xml:space="preserve">approved </w:t>
      </w:r>
      <w:r w:rsidR="00D20D31" w:rsidRPr="1B8821D0">
        <w:rPr>
          <w:i/>
          <w:iCs/>
          <w:color w:val="3A7C22" w:themeColor="accent6" w:themeShade="BF"/>
        </w:rPr>
        <w:t>development</w:t>
      </w:r>
      <w:r w:rsidR="0F89256A" w:rsidRPr="1B8821D0">
        <w:rPr>
          <w:i/>
          <w:iCs/>
          <w:color w:val="3A7C22" w:themeColor="accent6" w:themeShade="BF"/>
        </w:rPr>
        <w:t xml:space="preserve"> activity</w:t>
      </w:r>
      <w:r w:rsidR="00D20D31" w:rsidRPr="1B8821D0">
        <w:rPr>
          <w:i/>
          <w:iCs/>
          <w:color w:val="3A7C22" w:themeColor="accent6" w:themeShade="BF"/>
        </w:rPr>
        <w:t xml:space="preserve"> </w:t>
      </w:r>
      <w:r w:rsidR="00C25213" w:rsidRPr="1B8821D0">
        <w:rPr>
          <w:i/>
          <w:iCs/>
          <w:color w:val="3A7C22" w:themeColor="accent6" w:themeShade="BF"/>
        </w:rPr>
        <w:t>in coastal areas.</w:t>
      </w:r>
    </w:p>
    <w:p w14:paraId="6535E068" w14:textId="563DD5E1" w:rsidR="007917CB" w:rsidRDefault="007917CB" w:rsidP="007917CB">
      <w:pPr>
        <w:pStyle w:val="ListParagraph"/>
        <w:numPr>
          <w:ilvl w:val="0"/>
          <w:numId w:val="4"/>
        </w:numPr>
      </w:pPr>
      <w:r w:rsidRPr="009A3EDB">
        <w:rPr>
          <w:color w:val="3A7C22" w:themeColor="accent6" w:themeShade="BF"/>
        </w:rPr>
        <w:t xml:space="preserve">FOCUS: </w:t>
      </w:r>
      <w:r>
        <w:t>Environmental protection and public access to state coastal areas.</w:t>
      </w:r>
    </w:p>
    <w:p w14:paraId="5CF45096" w14:textId="6E82B00E" w:rsidR="00D22947" w:rsidRDefault="00816AB2" w:rsidP="00D22947">
      <w:pPr>
        <w:pStyle w:val="ListParagraph"/>
        <w:numPr>
          <w:ilvl w:val="0"/>
          <w:numId w:val="4"/>
        </w:numPr>
      </w:pPr>
      <w:r w:rsidRPr="009A3EDB">
        <w:rPr>
          <w:color w:val="3A7C22" w:themeColor="accent6" w:themeShade="BF"/>
        </w:rPr>
        <w:t>ROLE</w:t>
      </w:r>
      <w:r w:rsidR="00D22947" w:rsidRPr="009A3EDB">
        <w:rPr>
          <w:color w:val="3A7C22" w:themeColor="accent6" w:themeShade="BF"/>
        </w:rPr>
        <w:t xml:space="preserve"> &amp; AUTHORITY</w:t>
      </w:r>
      <w:r w:rsidRPr="009A3EDB">
        <w:rPr>
          <w:color w:val="3A7C22" w:themeColor="accent6" w:themeShade="BF"/>
        </w:rPr>
        <w:t xml:space="preserve">: </w:t>
      </w:r>
      <w:r w:rsidR="007917CB">
        <w:t>U</w:t>
      </w:r>
      <w:r w:rsidR="00D22947">
        <w:t>nder the California Coastal Act</w:t>
      </w:r>
      <w:r w:rsidR="00F36F34">
        <w:t xml:space="preserve"> of 1976</w:t>
      </w:r>
      <w:r w:rsidR="00D22947">
        <w:t xml:space="preserve">, </w:t>
      </w:r>
      <w:r w:rsidR="007917CB">
        <w:t xml:space="preserve">the California Coastal Commission </w:t>
      </w:r>
      <w:r w:rsidR="004277AA">
        <w:t>has permitting responsibility</w:t>
      </w:r>
      <w:r>
        <w:t xml:space="preserve"> for </w:t>
      </w:r>
      <w:r w:rsidR="003E4931">
        <w:t xml:space="preserve">non-exempt </w:t>
      </w:r>
      <w:r>
        <w:t>pipeline</w:t>
      </w:r>
      <w:r w:rsidR="003E4931">
        <w:t xml:space="preserve"> work and other development associated with the pipeline in the Coastal Zone</w:t>
      </w:r>
      <w:r>
        <w:t>, including</w:t>
      </w:r>
      <w:r w:rsidR="00356F1D">
        <w:t xml:space="preserve"> any </w:t>
      </w:r>
      <w:r>
        <w:t xml:space="preserve">enforcement </w:t>
      </w:r>
      <w:r w:rsidR="00356F1D">
        <w:t>actions</w:t>
      </w:r>
      <w:r w:rsidR="002F0069">
        <w:t xml:space="preserve"> for permitting requirements</w:t>
      </w:r>
      <w:r w:rsidR="00356F1D">
        <w:t>.</w:t>
      </w:r>
      <w:r w:rsidR="00D22947">
        <w:t xml:space="preserve"> </w:t>
      </w:r>
      <w:r w:rsidR="002F0069">
        <w:t>The Commission also has federal consistency review authority under the Coastal Zone Management Act of certain pipeline-related activities in federal waters.</w:t>
      </w:r>
    </w:p>
    <w:p w14:paraId="4C7FF337" w14:textId="516786B6" w:rsidR="00DD7C41" w:rsidRDefault="00D22947" w:rsidP="00DD7C41">
      <w:pPr>
        <w:pStyle w:val="ListParagraph"/>
        <w:numPr>
          <w:ilvl w:val="0"/>
          <w:numId w:val="4"/>
        </w:numPr>
      </w:pPr>
      <w:r w:rsidRPr="009A3EDB">
        <w:rPr>
          <w:color w:val="3A7C22" w:themeColor="accent6" w:themeShade="BF"/>
        </w:rPr>
        <w:t>ACTIONS UNDERWAY:</w:t>
      </w:r>
      <w:r w:rsidR="00DD7C41">
        <w:rPr>
          <w:rFonts w:ascii="Aptos" w:eastAsia="Aptos" w:hAnsi="Aptos" w:cs="Aptos"/>
        </w:rPr>
        <w:t xml:space="preserve"> Commission </w:t>
      </w:r>
      <w:r w:rsidR="00DD7C41" w:rsidRPr="005A44EE">
        <w:rPr>
          <w:rFonts w:ascii="Aptos" w:eastAsia="Aptos" w:hAnsi="Aptos" w:cs="Aptos"/>
        </w:rPr>
        <w:t xml:space="preserve">staff is coordinating with Sable (and Santa Barbara County, which shares </w:t>
      </w:r>
      <w:r w:rsidR="00E32DAD">
        <w:rPr>
          <w:rFonts w:ascii="Aptos" w:eastAsia="Aptos" w:hAnsi="Aptos" w:cs="Aptos"/>
        </w:rPr>
        <w:t xml:space="preserve">the </w:t>
      </w:r>
      <w:r w:rsidR="00DD7C41" w:rsidRPr="005A44EE">
        <w:rPr>
          <w:rFonts w:ascii="Aptos" w:eastAsia="Aptos" w:hAnsi="Aptos" w:cs="Aptos"/>
        </w:rPr>
        <w:t xml:space="preserve">permitting jurisdiction) to determine what permits are needed and the appropriate permitting process. </w:t>
      </w:r>
      <w:r w:rsidR="00DD7C41">
        <w:rPr>
          <w:rFonts w:ascii="Aptos" w:eastAsia="Aptos" w:hAnsi="Aptos" w:cs="Aptos"/>
        </w:rPr>
        <w:t>Commission e</w:t>
      </w:r>
      <w:r w:rsidR="00DD7C41" w:rsidRPr="005A44EE">
        <w:rPr>
          <w:rFonts w:ascii="Aptos" w:eastAsia="Aptos" w:hAnsi="Aptos" w:cs="Aptos"/>
        </w:rPr>
        <w:t xml:space="preserve">nforcement staff </w:t>
      </w:r>
      <w:r w:rsidR="009C1E95">
        <w:rPr>
          <w:rFonts w:ascii="Aptos" w:eastAsia="Aptos" w:hAnsi="Aptos" w:cs="Aptos"/>
        </w:rPr>
        <w:t>are</w:t>
      </w:r>
      <w:r w:rsidR="00DD7C41" w:rsidRPr="005A44EE">
        <w:rPr>
          <w:rFonts w:ascii="Aptos" w:eastAsia="Aptos" w:hAnsi="Aptos" w:cs="Aptos"/>
        </w:rPr>
        <w:t xml:space="preserve"> in the process of investigating multiple potential violations.</w:t>
      </w:r>
      <w:r w:rsidR="00DD7C41" w:rsidRPr="01F02628">
        <w:t xml:space="preserve"> </w:t>
      </w:r>
    </w:p>
    <w:p w14:paraId="13852351" w14:textId="6BFB44A9" w:rsidR="00202668" w:rsidRPr="00557699" w:rsidRDefault="00202668" w:rsidP="00202668">
      <w:pPr>
        <w:pStyle w:val="ListParagraph"/>
        <w:numPr>
          <w:ilvl w:val="1"/>
          <w:numId w:val="4"/>
        </w:numPr>
      </w:pPr>
      <w:r w:rsidRPr="00E32DAD">
        <w:rPr>
          <w:rFonts w:eastAsia="Calibri" w:cs="Times New Roman"/>
          <w:i/>
          <w:iCs/>
          <w:kern w:val="0"/>
          <w14:ligatures w14:val="none"/>
        </w:rPr>
        <w:t>On September 27, 2024</w:t>
      </w:r>
      <w:r w:rsidRPr="00557699">
        <w:rPr>
          <w:rFonts w:eastAsia="Calibri" w:cs="Times New Roman"/>
          <w:kern w:val="0"/>
          <w14:ligatures w14:val="none"/>
        </w:rPr>
        <w:t>, C</w:t>
      </w:r>
      <w:r>
        <w:rPr>
          <w:rFonts w:eastAsia="Calibri" w:cs="Times New Roman"/>
          <w:kern w:val="0"/>
          <w14:ligatures w14:val="none"/>
        </w:rPr>
        <w:t>ommission</w:t>
      </w:r>
      <w:r w:rsidRPr="00557699">
        <w:rPr>
          <w:rFonts w:eastAsia="Calibri" w:cs="Times New Roman"/>
          <w:kern w:val="0"/>
          <w14:ligatures w14:val="none"/>
        </w:rPr>
        <w:t xml:space="preserve"> staff issued a Notice of Violation and cease and desist letter to Sable due to </w:t>
      </w:r>
      <w:r w:rsidR="00FD133F">
        <w:rPr>
          <w:rFonts w:eastAsia="Calibri" w:cs="Times New Roman"/>
          <w:kern w:val="0"/>
          <w14:ligatures w14:val="none"/>
        </w:rPr>
        <w:t xml:space="preserve">then </w:t>
      </w:r>
      <w:r w:rsidR="0073291B">
        <w:rPr>
          <w:rFonts w:eastAsia="Calibri" w:cs="Times New Roman"/>
          <w:kern w:val="0"/>
          <w14:ligatures w14:val="none"/>
        </w:rPr>
        <w:t xml:space="preserve">recent and </w:t>
      </w:r>
      <w:r w:rsidRPr="00557699">
        <w:rPr>
          <w:rFonts w:eastAsia="Calibri" w:cs="Times New Roman"/>
          <w:kern w:val="0"/>
          <w14:ligatures w14:val="none"/>
        </w:rPr>
        <w:t xml:space="preserve">ongoing development activities that were occurring on and around the pipeline within the Coastal Zone without any Coastal Act authorization.  </w:t>
      </w:r>
    </w:p>
    <w:p w14:paraId="75A8A666" w14:textId="77777777" w:rsidR="00202668" w:rsidRPr="00557699" w:rsidRDefault="00202668" w:rsidP="00202668">
      <w:pPr>
        <w:pStyle w:val="ListParagraph"/>
        <w:numPr>
          <w:ilvl w:val="1"/>
          <w:numId w:val="4"/>
        </w:numPr>
      </w:pPr>
      <w:r w:rsidRPr="00E32DAD">
        <w:rPr>
          <w:rFonts w:eastAsia="Calibri" w:cs="Times New Roman"/>
          <w:i/>
          <w:iCs/>
        </w:rPr>
        <w:t>On</w:t>
      </w:r>
      <w:r w:rsidRPr="00E32DAD">
        <w:rPr>
          <w:rFonts w:eastAsia="Calibri" w:cs="Times New Roman"/>
          <w:i/>
          <w:iCs/>
          <w:kern w:val="0"/>
          <w14:ligatures w14:val="none"/>
        </w:rPr>
        <w:t xml:space="preserve"> </w:t>
      </w:r>
      <w:r w:rsidRPr="00E32DAD">
        <w:rPr>
          <w:rFonts w:ascii="Aptos" w:eastAsia="Aptos" w:hAnsi="Aptos" w:cs="Aptos"/>
          <w:i/>
          <w:iCs/>
        </w:rPr>
        <w:t>October</w:t>
      </w:r>
      <w:r w:rsidRPr="00E32DAD">
        <w:rPr>
          <w:rFonts w:eastAsia="Calibri" w:cs="Times New Roman"/>
          <w:i/>
          <w:iCs/>
          <w:kern w:val="0"/>
          <w14:ligatures w14:val="none"/>
        </w:rPr>
        <w:t xml:space="preserve"> 4, 2024,</w:t>
      </w:r>
      <w:r w:rsidRPr="00557699">
        <w:rPr>
          <w:rFonts w:eastAsia="Calibri" w:cs="Times New Roman"/>
          <w:kern w:val="0"/>
          <w14:ligatures w14:val="none"/>
        </w:rPr>
        <w:t xml:space="preserve"> </w:t>
      </w:r>
      <w:r>
        <w:rPr>
          <w:rFonts w:eastAsia="Calibri" w:cs="Times New Roman"/>
          <w:kern w:val="0"/>
          <w14:ligatures w14:val="none"/>
        </w:rPr>
        <w:t>Commission</w:t>
      </w:r>
      <w:r w:rsidRPr="00557699">
        <w:rPr>
          <w:rFonts w:eastAsia="Calibri" w:cs="Times New Roman"/>
          <w:kern w:val="0"/>
          <w14:ligatures w14:val="none"/>
        </w:rPr>
        <w:t xml:space="preserve"> staff issued a Notice of Intent to issue an Executive Director Cease and Desist Order and requested confirmation that all work on the pipeline had cease</w:t>
      </w:r>
      <w:r w:rsidRPr="00557699">
        <w:rPr>
          <w:rFonts w:eastAsia="Calibri" w:cs="Times New Roman"/>
        </w:rPr>
        <w:t xml:space="preserve">d </w:t>
      </w:r>
      <w:r w:rsidRPr="00DD7C41">
        <w:rPr>
          <w:rFonts w:ascii="Aptos" w:eastAsia="Aptos" w:hAnsi="Aptos" w:cs="Aptos"/>
        </w:rPr>
        <w:t>and that Sable would apply for a Coastal Development Permit for the work that had already occurred</w:t>
      </w:r>
      <w:r w:rsidRPr="00557699">
        <w:rPr>
          <w:rFonts w:eastAsia="Calibri" w:cs="Times New Roman"/>
          <w:kern w:val="0"/>
          <w14:ligatures w14:val="none"/>
        </w:rPr>
        <w:t>.</w:t>
      </w:r>
    </w:p>
    <w:p w14:paraId="62049E4C" w14:textId="3071BC3D" w:rsidR="00202668" w:rsidRPr="000662CE" w:rsidRDefault="00202668" w:rsidP="00202668">
      <w:pPr>
        <w:pStyle w:val="ListParagraph"/>
        <w:numPr>
          <w:ilvl w:val="1"/>
          <w:numId w:val="4"/>
        </w:numPr>
      </w:pPr>
      <w:r w:rsidRPr="00E32DAD">
        <w:rPr>
          <w:rFonts w:eastAsia="Calibri" w:cs="Times New Roman"/>
          <w:i/>
          <w:iCs/>
          <w:kern w:val="0"/>
          <w14:ligatures w14:val="none"/>
        </w:rPr>
        <w:t>On November 11, 2024,</w:t>
      </w:r>
      <w:r w:rsidRPr="00557699">
        <w:rPr>
          <w:rFonts w:eastAsia="Calibri" w:cs="Times New Roman"/>
          <w:kern w:val="0"/>
          <w14:ligatures w14:val="none"/>
        </w:rPr>
        <w:t xml:space="preserve"> </w:t>
      </w:r>
      <w:r>
        <w:rPr>
          <w:rFonts w:eastAsia="Calibri" w:cs="Times New Roman"/>
          <w:kern w:val="0"/>
          <w14:ligatures w14:val="none"/>
        </w:rPr>
        <w:t>the Commission’s</w:t>
      </w:r>
      <w:r w:rsidRPr="00557699">
        <w:rPr>
          <w:rFonts w:eastAsia="Calibri" w:cs="Times New Roman"/>
          <w:kern w:val="0"/>
          <w14:ligatures w14:val="none"/>
        </w:rPr>
        <w:t xml:space="preserve"> Executive Director issued a </w:t>
      </w:r>
      <w:proofErr w:type="gramStart"/>
      <w:r w:rsidR="00E32DAD" w:rsidRPr="00557699">
        <w:rPr>
          <w:rFonts w:eastAsia="Calibri" w:cs="Times New Roman"/>
          <w:kern w:val="0"/>
          <w14:ligatures w14:val="none"/>
        </w:rPr>
        <w:t>Cease</w:t>
      </w:r>
      <w:r w:rsidR="009C1E95">
        <w:rPr>
          <w:rFonts w:eastAsia="Calibri" w:cs="Times New Roman"/>
          <w:kern w:val="0"/>
          <w14:ligatures w14:val="none"/>
        </w:rPr>
        <w:t xml:space="preserve"> </w:t>
      </w:r>
      <w:r w:rsidR="00E32DAD" w:rsidRPr="00557699">
        <w:rPr>
          <w:rFonts w:eastAsia="Calibri" w:cs="Times New Roman"/>
          <w:kern w:val="0"/>
          <w14:ligatures w14:val="none"/>
        </w:rPr>
        <w:t>and</w:t>
      </w:r>
      <w:r w:rsidR="009C1E95">
        <w:rPr>
          <w:rFonts w:eastAsia="Calibri" w:cs="Times New Roman"/>
          <w:kern w:val="0"/>
          <w14:ligatures w14:val="none"/>
        </w:rPr>
        <w:t xml:space="preserve"> </w:t>
      </w:r>
      <w:r w:rsidR="00E32DAD" w:rsidRPr="00557699">
        <w:rPr>
          <w:rFonts w:eastAsia="Calibri" w:cs="Times New Roman"/>
          <w:kern w:val="0"/>
          <w14:ligatures w14:val="none"/>
        </w:rPr>
        <w:t>Desist</w:t>
      </w:r>
      <w:proofErr w:type="gramEnd"/>
      <w:r w:rsidRPr="00557699">
        <w:rPr>
          <w:rFonts w:eastAsia="Calibri" w:cs="Times New Roman"/>
          <w:kern w:val="0"/>
          <w14:ligatures w14:val="none"/>
        </w:rPr>
        <w:t xml:space="preserve"> Order to Sable</w:t>
      </w:r>
      <w:r w:rsidR="007629BA">
        <w:rPr>
          <w:rFonts w:eastAsia="Calibri" w:cs="Times New Roman"/>
          <w:kern w:val="0"/>
          <w14:ligatures w14:val="none"/>
        </w:rPr>
        <w:t>, directing</w:t>
      </w:r>
      <w:r w:rsidRPr="00557699">
        <w:rPr>
          <w:rFonts w:eastAsia="Calibri" w:cs="Times New Roman"/>
          <w:kern w:val="0"/>
          <w14:ligatures w14:val="none"/>
        </w:rPr>
        <w:t xml:space="preserve"> Sable, among other things, </w:t>
      </w:r>
      <w:r w:rsidR="007629BA">
        <w:rPr>
          <w:rFonts w:eastAsia="Calibri" w:cs="Times New Roman"/>
          <w:kern w:val="0"/>
          <w14:ligatures w14:val="none"/>
        </w:rPr>
        <w:t xml:space="preserve">to </w:t>
      </w:r>
      <w:r w:rsidRPr="00557699">
        <w:rPr>
          <w:rFonts w:eastAsia="Calibri" w:cs="Times New Roman"/>
          <w:kern w:val="0"/>
          <w14:ligatures w14:val="none"/>
        </w:rPr>
        <w:t xml:space="preserve">submit an application for a Coastal Development Permit </w:t>
      </w:r>
      <w:r w:rsidRPr="00E32DAD">
        <w:rPr>
          <w:rFonts w:ascii="Aptos" w:eastAsia="Aptos" w:hAnsi="Aptos" w:cs="Aptos"/>
          <w:i/>
          <w:iCs/>
        </w:rPr>
        <w:t xml:space="preserve">“for any proposed future work to be undertaken along the Pipelines, as well as for after-the-fact (‘ATF’) authorization for unpermitted development that has already occurred.” </w:t>
      </w:r>
      <w:r w:rsidRPr="00557699">
        <w:rPr>
          <w:rFonts w:eastAsia="Calibri" w:cs="Times New Roman"/>
          <w:kern w:val="0"/>
          <w14:ligatures w14:val="none"/>
        </w:rPr>
        <w:t xml:space="preserve">  </w:t>
      </w:r>
    </w:p>
    <w:p w14:paraId="41957FBD" w14:textId="6371F401" w:rsidR="000662CE" w:rsidRPr="00096919" w:rsidRDefault="006040F1" w:rsidP="00202668">
      <w:pPr>
        <w:pStyle w:val="ListParagraph"/>
        <w:numPr>
          <w:ilvl w:val="1"/>
          <w:numId w:val="4"/>
        </w:numPr>
        <w:rPr>
          <w:i/>
          <w:iCs/>
        </w:rPr>
      </w:pPr>
      <w:r w:rsidRPr="00096919">
        <w:rPr>
          <w:i/>
          <w:iCs/>
        </w:rPr>
        <w:t xml:space="preserve">Currently: </w:t>
      </w:r>
      <w:r w:rsidRPr="00096919">
        <w:t>Coastal Commission staff are</w:t>
      </w:r>
      <w:r w:rsidR="00691CBE">
        <w:t xml:space="preserve"> coordinating with Sable and the federal government to determine the scope of required federal consistency review</w:t>
      </w:r>
      <w:r w:rsidRPr="00096919">
        <w:t xml:space="preserve">. Federal agency approvals would only occur after the Commission </w:t>
      </w:r>
      <w:r w:rsidR="0020765A">
        <w:t>acts o</w:t>
      </w:r>
      <w:r w:rsidR="00094750">
        <w:t>n</w:t>
      </w:r>
      <w:r w:rsidR="0020765A">
        <w:t xml:space="preserve"> the federal cons</w:t>
      </w:r>
      <w:r w:rsidR="0008400A">
        <w:t>iste</w:t>
      </w:r>
      <w:r w:rsidR="0020765A">
        <w:t>ncy review</w:t>
      </w:r>
      <w:r w:rsidR="005E3F26">
        <w:t>.</w:t>
      </w:r>
    </w:p>
    <w:p w14:paraId="32F7D6BC" w14:textId="58D12A3D" w:rsidR="00202668" w:rsidRDefault="00E32DAD" w:rsidP="008E0997">
      <w:pPr>
        <w:pStyle w:val="ListParagraph"/>
        <w:numPr>
          <w:ilvl w:val="0"/>
          <w:numId w:val="4"/>
        </w:numPr>
        <w:spacing w:after="360"/>
      </w:pPr>
      <w:r>
        <w:rPr>
          <w:color w:val="3A7C22" w:themeColor="accent6" w:themeShade="BF"/>
        </w:rPr>
        <w:t xml:space="preserve">FOR </w:t>
      </w:r>
      <w:r w:rsidR="00202668" w:rsidRPr="00E32DAD">
        <w:rPr>
          <w:color w:val="3A7C22" w:themeColor="accent6" w:themeShade="BF"/>
        </w:rPr>
        <w:t>MORE INFORMATION</w:t>
      </w:r>
      <w:r w:rsidR="00202668">
        <w:t>:</w:t>
      </w:r>
      <w:r>
        <w:t xml:space="preserve"> </w:t>
      </w:r>
      <w:r w:rsidR="004356B8">
        <w:rPr>
          <w:color w:val="000000" w:themeColor="text1"/>
        </w:rPr>
        <w:t>Contact</w:t>
      </w:r>
      <w:r>
        <w:rPr>
          <w:color w:val="000000" w:themeColor="text1"/>
        </w:rPr>
        <w:t xml:space="preserve"> the </w:t>
      </w:r>
      <w:hyperlink r:id="rId7" w:history="1">
        <w:r w:rsidR="00E83F73" w:rsidRPr="00E83F73">
          <w:rPr>
            <w:rStyle w:val="Hyperlink"/>
          </w:rPr>
          <w:t xml:space="preserve">California Coastal </w:t>
        </w:r>
        <w:r w:rsidRPr="00E83F73">
          <w:rPr>
            <w:rStyle w:val="Hyperlink"/>
          </w:rPr>
          <w:t>Commission</w:t>
        </w:r>
      </w:hyperlink>
      <w:r>
        <w:rPr>
          <w:color w:val="000000" w:themeColor="text1"/>
        </w:rPr>
        <w:t xml:space="preserve"> at </w:t>
      </w:r>
      <w:hyperlink r:id="rId8" w:history="1">
        <w:r w:rsidRPr="00EE4192">
          <w:rPr>
            <w:rStyle w:val="Hyperlink"/>
          </w:rPr>
          <w:t>ExecutiveStaff@coastal.ca.gov</w:t>
        </w:r>
      </w:hyperlink>
      <w:r>
        <w:rPr>
          <w:color w:val="000000" w:themeColor="text1"/>
        </w:rPr>
        <w:t xml:space="preserve"> or </w:t>
      </w:r>
      <w:r w:rsidR="006040F1">
        <w:rPr>
          <w:color w:val="000000" w:themeColor="text1"/>
        </w:rPr>
        <w:t xml:space="preserve">the Commission’s </w:t>
      </w:r>
      <w:r>
        <w:rPr>
          <w:color w:val="000000" w:themeColor="text1"/>
        </w:rPr>
        <w:t xml:space="preserve">Public Information Officer at (415) 200-8052. </w:t>
      </w:r>
    </w:p>
    <w:p w14:paraId="2A801E93" w14:textId="77777777" w:rsidR="008E0997" w:rsidRDefault="008E0997" w:rsidP="008E0997">
      <w:pPr>
        <w:rPr>
          <w:i/>
          <w:iCs/>
          <w:color w:val="3A7C22" w:themeColor="accent6" w:themeShade="BF"/>
        </w:rPr>
      </w:pPr>
      <w:r>
        <w:rPr>
          <w:b/>
          <w:bCs/>
          <w:color w:val="000000" w:themeColor="text1"/>
        </w:rPr>
        <w:t>CALIFORNIA DEPARTMENT OF CONSERVATION: GEOLOGIC ENERGY MANAGEMENT DIVISION (</w:t>
      </w:r>
      <w:proofErr w:type="spellStart"/>
      <w:r>
        <w:rPr>
          <w:b/>
          <w:bCs/>
          <w:color w:val="000000" w:themeColor="text1"/>
        </w:rPr>
        <w:t>CalGEM</w:t>
      </w:r>
      <w:proofErr w:type="spellEnd"/>
      <w:r>
        <w:rPr>
          <w:b/>
          <w:bCs/>
          <w:color w:val="000000" w:themeColor="text1"/>
        </w:rPr>
        <w:t>)</w:t>
      </w:r>
      <w:r>
        <w:rPr>
          <w:b/>
          <w:bCs/>
          <w:color w:val="000000" w:themeColor="text1"/>
        </w:rPr>
        <w:br/>
      </w:r>
      <w:r>
        <w:rPr>
          <w:i/>
          <w:iCs/>
          <w:color w:val="3A7C22" w:themeColor="accent6" w:themeShade="BF"/>
        </w:rPr>
        <w:t xml:space="preserve">Oversees and regulates oil processing and production facilities. </w:t>
      </w:r>
    </w:p>
    <w:p w14:paraId="1021C500" w14:textId="77777777" w:rsidR="008E0997" w:rsidRPr="005C75D2" w:rsidRDefault="008E0997" w:rsidP="008E0997">
      <w:pPr>
        <w:pStyle w:val="ListParagraph"/>
        <w:numPr>
          <w:ilvl w:val="0"/>
          <w:numId w:val="8"/>
        </w:numPr>
        <w:rPr>
          <w:color w:val="000000" w:themeColor="text1"/>
        </w:rPr>
      </w:pPr>
      <w:r w:rsidRPr="005C75D2">
        <w:rPr>
          <w:color w:val="3A7C22" w:themeColor="accent6" w:themeShade="BF"/>
        </w:rPr>
        <w:t xml:space="preserve">FOCUS: </w:t>
      </w:r>
      <w:r>
        <w:rPr>
          <w:color w:val="000000" w:themeColor="text1"/>
        </w:rPr>
        <w:t>Public health and safety, environmental quality.</w:t>
      </w:r>
    </w:p>
    <w:p w14:paraId="7A8F4213" w14:textId="1B380DF8" w:rsidR="008E0997" w:rsidRDefault="008E0997" w:rsidP="008E0997">
      <w:pPr>
        <w:pStyle w:val="ListParagraph"/>
        <w:numPr>
          <w:ilvl w:val="0"/>
          <w:numId w:val="8"/>
        </w:numPr>
        <w:rPr>
          <w:color w:val="000000" w:themeColor="text1"/>
        </w:rPr>
      </w:pPr>
      <w:r w:rsidRPr="005C75D2">
        <w:rPr>
          <w:color w:val="3A7C22" w:themeColor="accent6" w:themeShade="BF"/>
        </w:rPr>
        <w:t xml:space="preserve">ROLE &amp; AUTHORITY: </w:t>
      </w:r>
      <w:r>
        <w:rPr>
          <w:color w:val="000000" w:themeColor="text1"/>
        </w:rPr>
        <w:t xml:space="preserve">The Department of Conservation oversees compliance for oil production facility management. While the department has oversight of the Los Flores Canyon oil processing facility, </w:t>
      </w:r>
      <w:proofErr w:type="spellStart"/>
      <w:r>
        <w:rPr>
          <w:color w:val="000000" w:themeColor="text1"/>
        </w:rPr>
        <w:t>CalGEM</w:t>
      </w:r>
      <w:proofErr w:type="spellEnd"/>
      <w:r>
        <w:rPr>
          <w:color w:val="000000" w:themeColor="text1"/>
        </w:rPr>
        <w:t xml:space="preserve"> approval is not required prior to restarting the pipeline. </w:t>
      </w:r>
      <w:proofErr w:type="spellStart"/>
      <w:r w:rsidR="006179C0">
        <w:rPr>
          <w:color w:val="000000" w:themeColor="text1"/>
        </w:rPr>
        <w:t>CalGEM</w:t>
      </w:r>
      <w:proofErr w:type="spellEnd"/>
      <w:r w:rsidR="006179C0">
        <w:rPr>
          <w:color w:val="000000" w:themeColor="text1"/>
        </w:rPr>
        <w:t xml:space="preserve"> does</w:t>
      </w:r>
      <w:r>
        <w:rPr>
          <w:color w:val="000000" w:themeColor="text1"/>
        </w:rPr>
        <w:t xml:space="preserve">, however, have a role in ensuring compliance with other regulatory partners in completing an oil spill plan, a pipeline management plan, various testing and maintenance requirements, </w:t>
      </w:r>
      <w:r w:rsidR="00C4761B">
        <w:rPr>
          <w:color w:val="000000" w:themeColor="text1"/>
        </w:rPr>
        <w:t>bonding to cover decommissioning costs</w:t>
      </w:r>
      <w:r>
        <w:rPr>
          <w:color w:val="000000" w:themeColor="text1"/>
        </w:rPr>
        <w:t>, and oversight of any potential oil production work happening near communities (called health protection zones).</w:t>
      </w:r>
    </w:p>
    <w:p w14:paraId="64E6D221" w14:textId="77777777" w:rsidR="008E0997" w:rsidRPr="00015F73" w:rsidRDefault="008E0997" w:rsidP="008E0997">
      <w:pPr>
        <w:pStyle w:val="ListParagraph"/>
        <w:numPr>
          <w:ilvl w:val="0"/>
          <w:numId w:val="8"/>
        </w:numPr>
        <w:rPr>
          <w:color w:val="3A7C22" w:themeColor="accent6" w:themeShade="BF"/>
        </w:rPr>
      </w:pPr>
      <w:r w:rsidRPr="00015F73">
        <w:rPr>
          <w:color w:val="3A7C22" w:themeColor="accent6" w:themeShade="BF"/>
        </w:rPr>
        <w:t>ACTIONS UNDERWAY:</w:t>
      </w:r>
    </w:p>
    <w:p w14:paraId="06182651" w14:textId="77777777" w:rsidR="008E0997" w:rsidRDefault="008E0997" w:rsidP="008E0997">
      <w:pPr>
        <w:pStyle w:val="ListParagraph"/>
        <w:numPr>
          <w:ilvl w:val="1"/>
          <w:numId w:val="8"/>
        </w:numPr>
        <w:rPr>
          <w:color w:val="000000" w:themeColor="text1"/>
        </w:rPr>
      </w:pPr>
      <w:r w:rsidRPr="007E6BC2">
        <w:rPr>
          <w:i/>
          <w:iCs/>
          <w:color w:val="000000" w:themeColor="text1"/>
        </w:rPr>
        <w:t>On December 17, 2024</w:t>
      </w:r>
      <w:r>
        <w:rPr>
          <w:color w:val="000000" w:themeColor="text1"/>
        </w:rPr>
        <w:t>, the Department of Conservation sent a letter to Sable notifying them of the need for an additional inspection of facilities, and production and bonding requirements.</w:t>
      </w:r>
    </w:p>
    <w:p w14:paraId="67829B3C" w14:textId="20C19B47" w:rsidR="008E0997" w:rsidRDefault="008E0997" w:rsidP="008E0997">
      <w:pPr>
        <w:pStyle w:val="ListParagraph"/>
        <w:numPr>
          <w:ilvl w:val="0"/>
          <w:numId w:val="8"/>
        </w:numPr>
        <w:spacing w:after="360"/>
      </w:pPr>
      <w:r>
        <w:rPr>
          <w:color w:val="3A7C22" w:themeColor="accent6" w:themeShade="BF"/>
        </w:rPr>
        <w:t xml:space="preserve">FOR </w:t>
      </w:r>
      <w:r w:rsidRPr="00E32DAD">
        <w:rPr>
          <w:color w:val="3A7C22" w:themeColor="accent6" w:themeShade="BF"/>
        </w:rPr>
        <w:t>MORE INFORMATION</w:t>
      </w:r>
      <w:r>
        <w:t xml:space="preserve">: </w:t>
      </w:r>
      <w:r>
        <w:rPr>
          <w:color w:val="000000" w:themeColor="text1"/>
        </w:rPr>
        <w:t xml:space="preserve">Contact </w:t>
      </w:r>
      <w:hyperlink r:id="rId9" w:history="1">
        <w:r w:rsidRPr="006C0BE2">
          <w:rPr>
            <w:rStyle w:val="Hyperlink"/>
          </w:rPr>
          <w:t>Department of Conversation</w:t>
        </w:r>
      </w:hyperlink>
      <w:r>
        <w:rPr>
          <w:color w:val="000000" w:themeColor="text1"/>
        </w:rPr>
        <w:t xml:space="preserve"> Public Affairs at </w:t>
      </w:r>
      <w:hyperlink r:id="rId10" w:history="1">
        <w:r w:rsidRPr="00EE4192">
          <w:rPr>
            <w:rStyle w:val="Hyperlink"/>
          </w:rPr>
          <w:t>PAO@conservation.ca.gov</w:t>
        </w:r>
      </w:hyperlink>
      <w:r>
        <w:rPr>
          <w:color w:val="000000" w:themeColor="text1"/>
        </w:rPr>
        <w:t xml:space="preserve"> or </w:t>
      </w:r>
      <w:r w:rsidR="006E05FA">
        <w:rPr>
          <w:color w:val="000000" w:themeColor="text1"/>
        </w:rPr>
        <w:t xml:space="preserve">the Office of the Director at </w:t>
      </w:r>
      <w:r>
        <w:rPr>
          <w:color w:val="000000" w:themeColor="text1"/>
        </w:rPr>
        <w:t xml:space="preserve">(916) 322-1080.   </w:t>
      </w:r>
    </w:p>
    <w:p w14:paraId="47F5CE00" w14:textId="6A5AFEF5" w:rsidR="008E0997" w:rsidRPr="005B5A5D" w:rsidRDefault="008E0997" w:rsidP="008E0997">
      <w:r>
        <w:rPr>
          <w:b/>
          <w:bCs/>
        </w:rPr>
        <w:t>CALIFORNIA DEPARTMENT OF FISH AND WILDLIFE/CDFW OFFICE OF SPILL PREVENTION AND RESPONSE</w:t>
      </w:r>
      <w:r>
        <w:rPr>
          <w:b/>
          <w:bCs/>
        </w:rPr>
        <w:br/>
      </w:r>
      <w:r w:rsidR="00BD6B33">
        <w:rPr>
          <w:i/>
          <w:iCs/>
          <w:color w:val="3A7C22" w:themeColor="accent6" w:themeShade="BF"/>
        </w:rPr>
        <w:t>Manages natural resources for their ecological value and for public use.</w:t>
      </w:r>
    </w:p>
    <w:p w14:paraId="3BECBF5A" w14:textId="77777777" w:rsidR="008E0997" w:rsidRPr="00EF03D0" w:rsidRDefault="008E0997" w:rsidP="008E0997">
      <w:pPr>
        <w:pStyle w:val="ListParagraph"/>
        <w:numPr>
          <w:ilvl w:val="0"/>
          <w:numId w:val="6"/>
        </w:numPr>
      </w:pPr>
      <w:r w:rsidRPr="00EF03D0">
        <w:rPr>
          <w:color w:val="3A7C22" w:themeColor="accent6" w:themeShade="BF"/>
        </w:rPr>
        <w:t xml:space="preserve">FOCUS: </w:t>
      </w:r>
      <w:r>
        <w:t>Protecting wildlife.</w:t>
      </w:r>
    </w:p>
    <w:p w14:paraId="0475A203" w14:textId="77777777" w:rsidR="008E0997" w:rsidRDefault="008E0997" w:rsidP="008E0997">
      <w:pPr>
        <w:pStyle w:val="ListParagraph"/>
        <w:numPr>
          <w:ilvl w:val="0"/>
          <w:numId w:val="6"/>
        </w:numPr>
      </w:pPr>
      <w:r w:rsidRPr="1B8821D0">
        <w:rPr>
          <w:color w:val="3A7C22" w:themeColor="accent6" w:themeShade="BF"/>
        </w:rPr>
        <w:t xml:space="preserve">ROLE &amp; AUTHORITY: </w:t>
      </w:r>
      <w:r>
        <w:t xml:space="preserve"> Exercises oversight as a landowner, as well as through its authority to protect fish and wildlife, and separately through one of its offices that oversees prevention, preparation for, and response to oil spills. CDFW-OSPR reviews and approves oil spill response plans and works to ensure that facilities have the financial resources necessary to cover the costs of oil spill scenarios. Under the Endangered Species Act and other Fish and Game Code laws, CDFW also oversees the review and approval process for evaluating impacts to wildlife due to altering the adjacent landscape.</w:t>
      </w:r>
    </w:p>
    <w:p w14:paraId="2FD4F70D" w14:textId="77777777" w:rsidR="008E0997" w:rsidRPr="00EF03D0" w:rsidRDefault="008E0997" w:rsidP="008E0997">
      <w:pPr>
        <w:pStyle w:val="ListParagraph"/>
        <w:numPr>
          <w:ilvl w:val="0"/>
          <w:numId w:val="6"/>
        </w:numPr>
        <w:rPr>
          <w:color w:val="3A7C22" w:themeColor="accent6" w:themeShade="BF"/>
        </w:rPr>
      </w:pPr>
      <w:r w:rsidRPr="00EF03D0">
        <w:rPr>
          <w:color w:val="3A7C22" w:themeColor="accent6" w:themeShade="BF"/>
        </w:rPr>
        <w:t>ACTIONS UNDERWAY:</w:t>
      </w:r>
    </w:p>
    <w:p w14:paraId="18167CC6" w14:textId="77777777" w:rsidR="008E0997" w:rsidRPr="00EB09B4" w:rsidRDefault="008E0997" w:rsidP="008E0997">
      <w:pPr>
        <w:pStyle w:val="ListParagraph"/>
        <w:numPr>
          <w:ilvl w:val="1"/>
          <w:numId w:val="6"/>
        </w:numPr>
      </w:pPr>
      <w:r w:rsidRPr="00EB09B4">
        <w:rPr>
          <w:i/>
          <w:iCs/>
        </w:rPr>
        <w:t>In October 2024</w:t>
      </w:r>
      <w:r w:rsidRPr="00EB09B4">
        <w:t xml:space="preserve">, CDFW-OSPR certified that Sable had the financial resources to cover the costs of a reasonable worst-case scenario oil spill.  </w:t>
      </w:r>
    </w:p>
    <w:p w14:paraId="62D97589" w14:textId="71202A78" w:rsidR="009648D9" w:rsidRPr="00EB09B4" w:rsidRDefault="009648D9" w:rsidP="008E0997">
      <w:pPr>
        <w:pStyle w:val="ListParagraph"/>
        <w:numPr>
          <w:ilvl w:val="1"/>
          <w:numId w:val="6"/>
        </w:numPr>
      </w:pPr>
      <w:r w:rsidRPr="00EB09B4">
        <w:rPr>
          <w:i/>
          <w:iCs/>
        </w:rPr>
        <w:t xml:space="preserve">On </w:t>
      </w:r>
      <w:r w:rsidR="004A2866" w:rsidRPr="00EB09B4">
        <w:rPr>
          <w:i/>
          <w:iCs/>
        </w:rPr>
        <w:t>November 22, 2024</w:t>
      </w:r>
      <w:r w:rsidRPr="00EB09B4">
        <w:t xml:space="preserve">, CDFW-OSPR sent a </w:t>
      </w:r>
      <w:r w:rsidR="007F5C99" w:rsidRPr="00EB09B4">
        <w:t>second</w:t>
      </w:r>
      <w:r w:rsidR="00C83387" w:rsidRPr="00EB09B4">
        <w:t xml:space="preserve"> notice to Sable sharing that its offshore contingency plan (C-Plan #CA-00-7239)</w:t>
      </w:r>
      <w:r w:rsidR="00DF0824" w:rsidRPr="00EB09B4">
        <w:t xml:space="preserve"> was deficient</w:t>
      </w:r>
      <w:r w:rsidR="002E3063" w:rsidRPr="00EB09B4">
        <w:t>.  On December 20, 2024, Sable submitted corrections to its pla</w:t>
      </w:r>
      <w:r w:rsidR="00BD22E5" w:rsidRPr="00EB09B4">
        <w:t>n.  CDFW-OSPR is reviewing these corrections</w:t>
      </w:r>
      <w:r w:rsidR="00F47696" w:rsidRPr="00EB09B4">
        <w:t xml:space="preserve"> and must respond by January 19, 2025.</w:t>
      </w:r>
    </w:p>
    <w:p w14:paraId="74374A03" w14:textId="5D0AFD78" w:rsidR="002E3421" w:rsidRDefault="008E0997" w:rsidP="00002736">
      <w:pPr>
        <w:pStyle w:val="ListParagraph"/>
        <w:numPr>
          <w:ilvl w:val="1"/>
          <w:numId w:val="6"/>
        </w:numPr>
      </w:pPr>
      <w:r w:rsidRPr="007E6BC2">
        <w:rPr>
          <w:i/>
          <w:iCs/>
        </w:rPr>
        <w:t>On December 17, 2024</w:t>
      </w:r>
      <w:r>
        <w:t xml:space="preserve">, CDFW-OSPR sent a </w:t>
      </w:r>
      <w:r w:rsidR="00C64D83">
        <w:t xml:space="preserve">third </w:t>
      </w:r>
      <w:r>
        <w:t xml:space="preserve">notice to Sable sharing that </w:t>
      </w:r>
      <w:r w:rsidR="00F156DC">
        <w:t>its</w:t>
      </w:r>
      <w:r w:rsidR="00205D96">
        <w:t xml:space="preserve"> o</w:t>
      </w:r>
      <w:r w:rsidR="00E44E10">
        <w:t>n</w:t>
      </w:r>
      <w:r w:rsidR="00205D96">
        <w:t xml:space="preserve">shore contingency </w:t>
      </w:r>
      <w:r>
        <w:t xml:space="preserve">plan </w:t>
      </w:r>
      <w:r w:rsidR="00FF02E2">
        <w:t>(C-Plan #CA-00</w:t>
      </w:r>
      <w:r w:rsidR="007C522C">
        <w:t>-</w:t>
      </w:r>
      <w:r w:rsidR="00FF02E2">
        <w:t>72</w:t>
      </w:r>
      <w:r w:rsidR="00E23DE5">
        <w:t>17</w:t>
      </w:r>
      <w:r w:rsidR="00FF02E2">
        <w:t>)</w:t>
      </w:r>
      <w:r>
        <w:t xml:space="preserve"> </w:t>
      </w:r>
      <w:r w:rsidR="00C35F71">
        <w:t xml:space="preserve">was </w:t>
      </w:r>
      <w:r>
        <w:t>deficient</w:t>
      </w:r>
      <w:r w:rsidR="00967797">
        <w:t>.  On January 9, 2025, Sable submitted corrections to its plan.  CDFW-OSPR is reviewing the</w:t>
      </w:r>
      <w:r w:rsidR="00EB09B4">
        <w:t>se corrections and must respond by February 9, 2025.</w:t>
      </w:r>
      <w:r w:rsidR="00967797">
        <w:t xml:space="preserve"> </w:t>
      </w:r>
      <w:r>
        <w:t xml:space="preserve"> </w:t>
      </w:r>
    </w:p>
    <w:p w14:paraId="4E6EBCAE" w14:textId="7410B2F2" w:rsidR="008E0997" w:rsidRDefault="008E0997" w:rsidP="008E0997">
      <w:pPr>
        <w:pStyle w:val="ListParagraph"/>
        <w:numPr>
          <w:ilvl w:val="1"/>
          <w:numId w:val="6"/>
        </w:numPr>
      </w:pPr>
      <w:r w:rsidRPr="007E6BC2">
        <w:rPr>
          <w:i/>
          <w:iCs/>
        </w:rPr>
        <w:t>On December 17, 2024,</w:t>
      </w:r>
      <w:r>
        <w:t xml:space="preserve"> CDFW also issued a </w:t>
      </w:r>
      <w:r w:rsidR="007629BA">
        <w:t xml:space="preserve">notice of </w:t>
      </w:r>
      <w:r>
        <w:t>violation for Fish and Game Code violations. This notice requests that Sable discontinue any work on CDFW properties and contact CDFW to discuss remedial measures and other actions to address impact</w:t>
      </w:r>
      <w:r w:rsidR="007629BA">
        <w:t>s</w:t>
      </w:r>
      <w:r>
        <w:t>.</w:t>
      </w:r>
    </w:p>
    <w:p w14:paraId="09494438" w14:textId="27EC37CE" w:rsidR="008E0997" w:rsidRDefault="008E0997" w:rsidP="008E0997">
      <w:pPr>
        <w:pStyle w:val="ListParagraph"/>
        <w:numPr>
          <w:ilvl w:val="0"/>
          <w:numId w:val="6"/>
        </w:numPr>
        <w:spacing w:after="360"/>
      </w:pPr>
      <w:r>
        <w:rPr>
          <w:color w:val="3A7C22" w:themeColor="accent6" w:themeShade="BF"/>
        </w:rPr>
        <w:t xml:space="preserve">FOR </w:t>
      </w:r>
      <w:r w:rsidRPr="00E32DAD">
        <w:rPr>
          <w:color w:val="3A7C22" w:themeColor="accent6" w:themeShade="BF"/>
        </w:rPr>
        <w:t>MORE INFORMATION</w:t>
      </w:r>
      <w:r>
        <w:t xml:space="preserve">: </w:t>
      </w:r>
      <w:r>
        <w:rPr>
          <w:color w:val="000000" w:themeColor="text1"/>
        </w:rPr>
        <w:t xml:space="preserve">Contact </w:t>
      </w:r>
      <w:hyperlink r:id="rId11" w:history="1">
        <w:r w:rsidRPr="006C0BE2">
          <w:rPr>
            <w:rStyle w:val="Hyperlink"/>
          </w:rPr>
          <w:t>Department of Fish and Wildlife</w:t>
        </w:r>
      </w:hyperlink>
      <w:r>
        <w:rPr>
          <w:color w:val="000000" w:themeColor="text1"/>
        </w:rPr>
        <w:t xml:space="preserve"> Public Information Officer at  </w:t>
      </w:r>
      <w:hyperlink r:id="rId12" w:history="1">
        <w:r w:rsidRPr="00EE4192">
          <w:rPr>
            <w:rStyle w:val="Hyperlink"/>
          </w:rPr>
          <w:t>Steve.Gonzalez@wildlife.ca.gov</w:t>
        </w:r>
      </w:hyperlink>
      <w:r w:rsidR="00F64990">
        <w:rPr>
          <w:color w:val="000000" w:themeColor="text1"/>
        </w:rPr>
        <w:t xml:space="preserve"> or (916) 804-1714.</w:t>
      </w:r>
      <w:r>
        <w:rPr>
          <w:color w:val="000000" w:themeColor="text1"/>
        </w:rPr>
        <w:t xml:space="preserve"> </w:t>
      </w:r>
    </w:p>
    <w:p w14:paraId="5ACAC620" w14:textId="4DBE85E6" w:rsidR="008E0997" w:rsidRPr="001705C9" w:rsidRDefault="008E0997" w:rsidP="008E0997">
      <w:pPr>
        <w:rPr>
          <w:i/>
          <w:iCs/>
          <w:color w:val="000000" w:themeColor="text1"/>
        </w:rPr>
      </w:pPr>
      <w:r>
        <w:rPr>
          <w:b/>
          <w:bCs/>
          <w:color w:val="000000" w:themeColor="text1"/>
        </w:rPr>
        <w:t>CALIFORNIA DEPARTMENT OF FORESTRY AND FIRE PROTECTION (CAL FIRE): OFFICE OF THE STATE FIRE MARSHAL</w:t>
      </w:r>
      <w:r>
        <w:rPr>
          <w:b/>
          <w:bCs/>
          <w:color w:val="000000" w:themeColor="text1"/>
        </w:rPr>
        <w:br/>
      </w:r>
      <w:r w:rsidRPr="001705C9">
        <w:rPr>
          <w:i/>
          <w:iCs/>
          <w:color w:val="3A7C22" w:themeColor="accent6" w:themeShade="BF"/>
        </w:rPr>
        <w:t xml:space="preserve">Oversees </w:t>
      </w:r>
      <w:r>
        <w:rPr>
          <w:i/>
          <w:iCs/>
          <w:color w:val="3A7C22" w:themeColor="accent6" w:themeShade="BF"/>
        </w:rPr>
        <w:t xml:space="preserve">and regulates </w:t>
      </w:r>
      <w:r w:rsidRPr="001705C9">
        <w:rPr>
          <w:i/>
          <w:iCs/>
          <w:color w:val="3A7C22" w:themeColor="accent6" w:themeShade="BF"/>
        </w:rPr>
        <w:t xml:space="preserve">the safety and operation of </w:t>
      </w:r>
      <w:r w:rsidR="00A106D5">
        <w:rPr>
          <w:i/>
          <w:iCs/>
          <w:color w:val="3A7C22" w:themeColor="accent6" w:themeShade="BF"/>
        </w:rPr>
        <w:t>intrastate</w:t>
      </w:r>
      <w:r w:rsidRPr="001705C9">
        <w:rPr>
          <w:i/>
          <w:iCs/>
          <w:color w:val="3A7C22" w:themeColor="accent6" w:themeShade="BF"/>
        </w:rPr>
        <w:t xml:space="preserve"> pipeline</w:t>
      </w:r>
      <w:r w:rsidR="00A106D5">
        <w:rPr>
          <w:i/>
          <w:iCs/>
          <w:color w:val="3A7C22" w:themeColor="accent6" w:themeShade="BF"/>
        </w:rPr>
        <w:t>s</w:t>
      </w:r>
      <w:r w:rsidRPr="001705C9">
        <w:rPr>
          <w:i/>
          <w:iCs/>
          <w:color w:val="3A7C22" w:themeColor="accent6" w:themeShade="BF"/>
        </w:rPr>
        <w:t xml:space="preserve"> moving hazardous liquid in California.</w:t>
      </w:r>
    </w:p>
    <w:p w14:paraId="301F92CA" w14:textId="77777777" w:rsidR="008E0997" w:rsidRPr="003E3FEA" w:rsidRDefault="008E0997" w:rsidP="008E0997">
      <w:pPr>
        <w:pStyle w:val="ListParagraph"/>
        <w:numPr>
          <w:ilvl w:val="0"/>
          <w:numId w:val="7"/>
        </w:numPr>
        <w:rPr>
          <w:color w:val="000000" w:themeColor="text1"/>
        </w:rPr>
      </w:pPr>
      <w:r w:rsidRPr="003E3FEA">
        <w:rPr>
          <w:color w:val="3A7C22" w:themeColor="accent6" w:themeShade="BF"/>
        </w:rPr>
        <w:t xml:space="preserve">FOCUS: </w:t>
      </w:r>
      <w:r>
        <w:rPr>
          <w:color w:val="000000" w:themeColor="text1"/>
        </w:rPr>
        <w:t>Protecting public safety and spill prevention.</w:t>
      </w:r>
    </w:p>
    <w:p w14:paraId="464F2F11" w14:textId="77777777" w:rsidR="008E0997" w:rsidRDefault="008E0997" w:rsidP="008E0997">
      <w:pPr>
        <w:pStyle w:val="ListParagraph"/>
        <w:numPr>
          <w:ilvl w:val="0"/>
          <w:numId w:val="7"/>
        </w:numPr>
        <w:rPr>
          <w:color w:val="000000" w:themeColor="text1"/>
        </w:rPr>
      </w:pPr>
      <w:r w:rsidRPr="003E3FEA">
        <w:rPr>
          <w:color w:val="3A7C22" w:themeColor="accent6" w:themeShade="BF"/>
        </w:rPr>
        <w:t xml:space="preserve">ROLE &amp; AUTHORITY: </w:t>
      </w:r>
      <w:r>
        <w:rPr>
          <w:color w:val="000000" w:themeColor="text1"/>
        </w:rPr>
        <w:t>With other regulatory partners, inspects, regulates, and oversees the overall safety of hazardous liquid pipelines. Prior to restarting any pipeline, the State Fire Marshal must approve a thorough list of requirements and regulations, including Sable’s proposed plans for using technology to minimize oil spill impacts, a detailed risk analysis, safety compliance reports, pipeline integrity evaluations, field verifications and maintenance plans, start-up and safety inspection plans, and waiver applications proving equal or greater levels of safety than required regulations.</w:t>
      </w:r>
    </w:p>
    <w:p w14:paraId="66CD774A" w14:textId="77777777" w:rsidR="008E0997" w:rsidRPr="00246E74" w:rsidRDefault="008E0997" w:rsidP="008E0997">
      <w:pPr>
        <w:pStyle w:val="ListParagraph"/>
        <w:numPr>
          <w:ilvl w:val="0"/>
          <w:numId w:val="7"/>
        </w:numPr>
        <w:rPr>
          <w:color w:val="3A7C22" w:themeColor="accent6" w:themeShade="BF"/>
        </w:rPr>
      </w:pPr>
      <w:r w:rsidRPr="00246E74">
        <w:rPr>
          <w:color w:val="3A7C22" w:themeColor="accent6" w:themeShade="BF"/>
        </w:rPr>
        <w:t xml:space="preserve">ACTIONS UNDERWAY: </w:t>
      </w:r>
    </w:p>
    <w:p w14:paraId="73664319" w14:textId="77777777" w:rsidR="008E0997" w:rsidRDefault="008E0997" w:rsidP="008E0997">
      <w:pPr>
        <w:pStyle w:val="ListParagraph"/>
        <w:numPr>
          <w:ilvl w:val="1"/>
          <w:numId w:val="7"/>
        </w:numPr>
        <w:rPr>
          <w:color w:val="000000" w:themeColor="text1"/>
        </w:rPr>
      </w:pPr>
      <w:r w:rsidRPr="1B8821D0">
        <w:rPr>
          <w:color w:val="000000" w:themeColor="text1"/>
        </w:rPr>
        <w:t>CAL FIRE Office of the State Fire Marshal approved a risk analysis and implementation plan for Sable’s use of best available technologies in 2021.</w:t>
      </w:r>
    </w:p>
    <w:p w14:paraId="35290188" w14:textId="77777777" w:rsidR="008E0997" w:rsidRDefault="008E0997" w:rsidP="008E0997">
      <w:pPr>
        <w:pStyle w:val="ListParagraph"/>
        <w:numPr>
          <w:ilvl w:val="1"/>
          <w:numId w:val="7"/>
        </w:numPr>
        <w:rPr>
          <w:color w:val="000000" w:themeColor="text1"/>
        </w:rPr>
      </w:pPr>
      <w:r w:rsidRPr="007E6BC2">
        <w:rPr>
          <w:i/>
          <w:iCs/>
          <w:color w:val="000000" w:themeColor="text1"/>
        </w:rPr>
        <w:t>On December 17, 2024</w:t>
      </w:r>
      <w:r>
        <w:rPr>
          <w:color w:val="000000" w:themeColor="text1"/>
        </w:rPr>
        <w:t xml:space="preserve">, OSFM submitted </w:t>
      </w:r>
      <w:r w:rsidRPr="1B8821D0">
        <w:rPr>
          <w:color w:val="000000" w:themeColor="text1"/>
        </w:rPr>
        <w:t xml:space="preserve">waivers for federal review. </w:t>
      </w:r>
    </w:p>
    <w:p w14:paraId="012C842B" w14:textId="77777777" w:rsidR="008E0997" w:rsidRDefault="008E0997" w:rsidP="008E0997">
      <w:pPr>
        <w:pStyle w:val="ListParagraph"/>
        <w:numPr>
          <w:ilvl w:val="1"/>
          <w:numId w:val="7"/>
        </w:numPr>
        <w:rPr>
          <w:color w:val="000000" w:themeColor="text1"/>
        </w:rPr>
      </w:pPr>
      <w:r>
        <w:rPr>
          <w:color w:val="000000" w:themeColor="text1"/>
        </w:rPr>
        <w:t>All remaining oversight items listed above remain open and must be completed prior to restarting the pipeline.</w:t>
      </w:r>
    </w:p>
    <w:p w14:paraId="188A3447" w14:textId="268666C0" w:rsidR="008E0997" w:rsidRPr="006C0BE2" w:rsidRDefault="008E0997" w:rsidP="008E0997">
      <w:pPr>
        <w:rPr>
          <w:color w:val="000000" w:themeColor="text1"/>
        </w:rPr>
      </w:pPr>
      <w:r>
        <w:rPr>
          <w:color w:val="3A7C22" w:themeColor="accent6" w:themeShade="BF"/>
        </w:rPr>
        <w:t xml:space="preserve">FOR </w:t>
      </w:r>
      <w:r w:rsidRPr="00E32DAD">
        <w:rPr>
          <w:color w:val="3A7C22" w:themeColor="accent6" w:themeShade="BF"/>
        </w:rPr>
        <w:t>MORE INFORMATION</w:t>
      </w:r>
      <w:r>
        <w:t xml:space="preserve">: </w:t>
      </w:r>
      <w:r>
        <w:rPr>
          <w:color w:val="000000" w:themeColor="text1"/>
        </w:rPr>
        <w:t xml:space="preserve">Contact </w:t>
      </w:r>
      <w:hyperlink r:id="rId13" w:history="1">
        <w:r w:rsidRPr="006C0BE2">
          <w:rPr>
            <w:rStyle w:val="Hyperlink"/>
          </w:rPr>
          <w:t>CAL FIRE</w:t>
        </w:r>
      </w:hyperlink>
      <w:r>
        <w:rPr>
          <w:color w:val="000000" w:themeColor="text1"/>
        </w:rPr>
        <w:t xml:space="preserve"> Communications at </w:t>
      </w:r>
      <w:hyperlink r:id="rId14" w:history="1">
        <w:r w:rsidR="00154941" w:rsidRPr="006B2550">
          <w:rPr>
            <w:rStyle w:val="Hyperlink"/>
          </w:rPr>
          <w:t>calfire.dutypio@fire.ca.gov</w:t>
        </w:r>
      </w:hyperlink>
      <w:r w:rsidR="00166E11">
        <w:rPr>
          <w:color w:val="000000" w:themeColor="text1"/>
        </w:rPr>
        <w:t xml:space="preserve"> or (916) 651-FIRE (3473).</w:t>
      </w:r>
      <w:r>
        <w:rPr>
          <w:color w:val="000000" w:themeColor="text1"/>
        </w:rPr>
        <w:br/>
      </w:r>
    </w:p>
    <w:p w14:paraId="0904355A" w14:textId="2FC343E7" w:rsidR="008E0997" w:rsidRDefault="008E0997" w:rsidP="008E0997">
      <w:pPr>
        <w:rPr>
          <w:i/>
          <w:iCs/>
          <w:color w:val="3A7C22" w:themeColor="accent6" w:themeShade="BF"/>
        </w:rPr>
      </w:pPr>
      <w:r>
        <w:rPr>
          <w:b/>
          <w:bCs/>
          <w:color w:val="000000" w:themeColor="text1"/>
        </w:rPr>
        <w:t>CALIFORNIA DEPARTMENT OF PARKS AND RECREATION</w:t>
      </w:r>
      <w:r>
        <w:rPr>
          <w:b/>
          <w:bCs/>
          <w:color w:val="000000" w:themeColor="text1"/>
        </w:rPr>
        <w:br/>
      </w:r>
      <w:r w:rsidRPr="00B56F91">
        <w:rPr>
          <w:i/>
          <w:iCs/>
          <w:color w:val="3A7C22" w:themeColor="accent6" w:themeShade="BF"/>
        </w:rPr>
        <w:t>Protect</w:t>
      </w:r>
      <w:r w:rsidR="009C1E95">
        <w:rPr>
          <w:i/>
          <w:iCs/>
          <w:color w:val="3A7C22" w:themeColor="accent6" w:themeShade="BF"/>
        </w:rPr>
        <w:t xml:space="preserve">s </w:t>
      </w:r>
      <w:r w:rsidRPr="00B56F91">
        <w:rPr>
          <w:i/>
          <w:iCs/>
          <w:color w:val="3A7C22" w:themeColor="accent6" w:themeShade="BF"/>
        </w:rPr>
        <w:t>and manag</w:t>
      </w:r>
      <w:r w:rsidR="009C1E95">
        <w:rPr>
          <w:i/>
          <w:iCs/>
          <w:color w:val="3A7C22" w:themeColor="accent6" w:themeShade="BF"/>
        </w:rPr>
        <w:t>es</w:t>
      </w:r>
      <w:r w:rsidRPr="00B56F91">
        <w:rPr>
          <w:i/>
          <w:iCs/>
          <w:color w:val="3A7C22" w:themeColor="accent6" w:themeShade="BF"/>
        </w:rPr>
        <w:t xml:space="preserve"> California state park</w:t>
      </w:r>
      <w:r>
        <w:rPr>
          <w:i/>
          <w:iCs/>
          <w:color w:val="3A7C22" w:themeColor="accent6" w:themeShade="BF"/>
        </w:rPr>
        <w:t xml:space="preserve"> land</w:t>
      </w:r>
      <w:r w:rsidRPr="00B56F91">
        <w:rPr>
          <w:i/>
          <w:iCs/>
          <w:color w:val="3A7C22" w:themeColor="accent6" w:themeShade="BF"/>
        </w:rPr>
        <w:t xml:space="preserve"> in areas </w:t>
      </w:r>
      <w:r>
        <w:rPr>
          <w:i/>
          <w:iCs/>
          <w:color w:val="3A7C22" w:themeColor="accent6" w:themeShade="BF"/>
        </w:rPr>
        <w:t>where</w:t>
      </w:r>
      <w:r w:rsidRPr="00B56F91">
        <w:rPr>
          <w:i/>
          <w:iCs/>
          <w:color w:val="3A7C22" w:themeColor="accent6" w:themeShade="BF"/>
        </w:rPr>
        <w:t xml:space="preserve"> onshore pipelines</w:t>
      </w:r>
      <w:r>
        <w:rPr>
          <w:i/>
          <w:iCs/>
          <w:color w:val="3A7C22" w:themeColor="accent6" w:themeShade="BF"/>
        </w:rPr>
        <w:t xml:space="preserve"> are located.</w:t>
      </w:r>
    </w:p>
    <w:p w14:paraId="017F81F6" w14:textId="77777777" w:rsidR="008E0997" w:rsidRPr="00364213" w:rsidRDefault="008E0997" w:rsidP="008E0997">
      <w:pPr>
        <w:pStyle w:val="ListParagraph"/>
        <w:numPr>
          <w:ilvl w:val="0"/>
          <w:numId w:val="9"/>
        </w:numPr>
        <w:rPr>
          <w:color w:val="000000" w:themeColor="text1"/>
        </w:rPr>
      </w:pPr>
      <w:r w:rsidRPr="00DD4F5A">
        <w:rPr>
          <w:color w:val="3A7C22" w:themeColor="accent6" w:themeShade="BF"/>
        </w:rPr>
        <w:t xml:space="preserve">FOCUS: </w:t>
      </w:r>
      <w:r>
        <w:rPr>
          <w:color w:val="000000" w:themeColor="text1"/>
        </w:rPr>
        <w:t>Environmental protection, state-owned land stewardship.</w:t>
      </w:r>
    </w:p>
    <w:p w14:paraId="13A959B1" w14:textId="3FADE13B" w:rsidR="008E0997" w:rsidRDefault="008E0997" w:rsidP="008E0997">
      <w:pPr>
        <w:pStyle w:val="ListParagraph"/>
        <w:numPr>
          <w:ilvl w:val="0"/>
          <w:numId w:val="9"/>
        </w:numPr>
        <w:rPr>
          <w:color w:val="000000" w:themeColor="text1"/>
        </w:rPr>
      </w:pPr>
      <w:r w:rsidRPr="1B8821D0">
        <w:rPr>
          <w:color w:val="3A7C22" w:themeColor="accent6" w:themeShade="BF"/>
        </w:rPr>
        <w:t xml:space="preserve">ROLE &amp; AUTHORITY: </w:t>
      </w:r>
      <w:r w:rsidRPr="1B8821D0">
        <w:rPr>
          <w:color w:val="000000" w:themeColor="text1"/>
        </w:rPr>
        <w:t xml:space="preserve">The California Department of Parks and Recreation manages public land for public benefits in areas where onshore pipelines may cross. The Department may grant easements for pipelines on this property. Specifically, this would include an easement to accommodate a four-mile section for pipeline maintenance in Gaviota State Park. The previous 30-year easement expired in 2016. Since then, the </w:t>
      </w:r>
      <w:r w:rsidR="007629BA">
        <w:rPr>
          <w:color w:val="000000" w:themeColor="text1"/>
        </w:rPr>
        <w:t>D</w:t>
      </w:r>
      <w:r w:rsidRPr="1B8821D0">
        <w:rPr>
          <w:color w:val="000000" w:themeColor="text1"/>
        </w:rPr>
        <w:t>epartment has issued individual permits for accessing and maintaining the pipeline.</w:t>
      </w:r>
    </w:p>
    <w:p w14:paraId="62E28BEE" w14:textId="77777777" w:rsidR="008E0997" w:rsidRPr="00DD4F5A" w:rsidRDefault="008E0997" w:rsidP="008E0997">
      <w:pPr>
        <w:pStyle w:val="ListParagraph"/>
        <w:numPr>
          <w:ilvl w:val="0"/>
          <w:numId w:val="9"/>
        </w:numPr>
        <w:rPr>
          <w:color w:val="3A7C22" w:themeColor="accent6" w:themeShade="BF"/>
        </w:rPr>
      </w:pPr>
      <w:r w:rsidRPr="00DD4F5A">
        <w:rPr>
          <w:color w:val="3A7C22" w:themeColor="accent6" w:themeShade="BF"/>
        </w:rPr>
        <w:t xml:space="preserve">ACTIONS UNDERWAY: </w:t>
      </w:r>
    </w:p>
    <w:p w14:paraId="281F0A62" w14:textId="77777777" w:rsidR="008E0997" w:rsidRDefault="008E0997" w:rsidP="008E0997">
      <w:pPr>
        <w:pStyle w:val="ListParagraph"/>
        <w:numPr>
          <w:ilvl w:val="1"/>
          <w:numId w:val="9"/>
        </w:numPr>
        <w:rPr>
          <w:color w:val="000000" w:themeColor="text1"/>
        </w:rPr>
      </w:pPr>
      <w:r w:rsidRPr="007E6BC2">
        <w:rPr>
          <w:i/>
          <w:iCs/>
          <w:color w:val="000000" w:themeColor="text1"/>
        </w:rPr>
        <w:t>On December 20, 2024</w:t>
      </w:r>
      <w:r>
        <w:rPr>
          <w:color w:val="000000" w:themeColor="text1"/>
        </w:rPr>
        <w:t>, t</w:t>
      </w:r>
      <w:r w:rsidRPr="70140243">
        <w:rPr>
          <w:color w:val="000000" w:themeColor="text1"/>
        </w:rPr>
        <w:t>he Department of Parks and Recreation sent a letter to Sable requesting a full project description to evaluate their request for</w:t>
      </w:r>
      <w:r>
        <w:rPr>
          <w:color w:val="000000" w:themeColor="text1"/>
        </w:rPr>
        <w:t xml:space="preserve"> </w:t>
      </w:r>
      <w:r w:rsidRPr="70140243">
        <w:rPr>
          <w:color w:val="000000" w:themeColor="text1"/>
        </w:rPr>
        <w:t>an easement.</w:t>
      </w:r>
    </w:p>
    <w:p w14:paraId="49DE1663" w14:textId="77777777" w:rsidR="008E0997" w:rsidRDefault="008E0997" w:rsidP="008E0997">
      <w:pPr>
        <w:pStyle w:val="ListParagraph"/>
        <w:numPr>
          <w:ilvl w:val="0"/>
          <w:numId w:val="9"/>
        </w:numPr>
      </w:pPr>
      <w:r>
        <w:rPr>
          <w:color w:val="3A7C22" w:themeColor="accent6" w:themeShade="BF"/>
        </w:rPr>
        <w:t xml:space="preserve">FOR </w:t>
      </w:r>
      <w:r w:rsidRPr="00E32DAD">
        <w:rPr>
          <w:color w:val="3A7C22" w:themeColor="accent6" w:themeShade="BF"/>
        </w:rPr>
        <w:t>MORE INFORMATION</w:t>
      </w:r>
      <w:r>
        <w:t xml:space="preserve">: </w:t>
      </w:r>
      <w:r>
        <w:rPr>
          <w:color w:val="000000" w:themeColor="text1"/>
        </w:rPr>
        <w:t xml:space="preserve">Contact </w:t>
      </w:r>
      <w:hyperlink r:id="rId15" w:history="1">
        <w:r w:rsidRPr="006C0BE2">
          <w:rPr>
            <w:rStyle w:val="Hyperlink"/>
          </w:rPr>
          <w:t>Department of Parks and Recreation</w:t>
        </w:r>
      </w:hyperlink>
      <w:r>
        <w:rPr>
          <w:color w:val="000000" w:themeColor="text1"/>
        </w:rPr>
        <w:t xml:space="preserve"> Communications at </w:t>
      </w:r>
      <w:hyperlink r:id="rId16" w:history="1">
        <w:r w:rsidRPr="00EE4192">
          <w:rPr>
            <w:rStyle w:val="Hyperlink"/>
          </w:rPr>
          <w:t>newsroom@parks.ca.gov</w:t>
        </w:r>
      </w:hyperlink>
      <w:r>
        <w:rPr>
          <w:color w:val="000000" w:themeColor="text1"/>
        </w:rPr>
        <w:t xml:space="preserve"> or (916) 654-7538.</w:t>
      </w:r>
    </w:p>
    <w:p w14:paraId="026EDDE5" w14:textId="279E4DC8" w:rsidR="00BB3D9C" w:rsidRPr="00C54D06" w:rsidRDefault="006C0BE2" w:rsidP="00BB3D9C">
      <w:pPr>
        <w:rPr>
          <w:i/>
          <w:iCs/>
          <w:color w:val="000000" w:themeColor="text1"/>
        </w:rPr>
      </w:pPr>
      <w:r>
        <w:rPr>
          <w:b/>
          <w:bCs/>
        </w:rPr>
        <w:br/>
      </w:r>
      <w:r w:rsidR="008E0997">
        <w:rPr>
          <w:b/>
          <w:bCs/>
          <w:color w:val="000000" w:themeColor="text1"/>
        </w:rPr>
        <w:t>CENTRAL COAST AND CENTRAL VALL</w:t>
      </w:r>
      <w:r w:rsidR="002129BB">
        <w:rPr>
          <w:b/>
          <w:bCs/>
          <w:color w:val="000000" w:themeColor="text1"/>
        </w:rPr>
        <w:t>E</w:t>
      </w:r>
      <w:r w:rsidR="008E0997">
        <w:rPr>
          <w:b/>
          <w:bCs/>
          <w:color w:val="000000" w:themeColor="text1"/>
        </w:rPr>
        <w:t xml:space="preserve">Y </w:t>
      </w:r>
      <w:r w:rsidR="00BB3D9C" w:rsidRPr="00BB3D9C">
        <w:rPr>
          <w:b/>
          <w:bCs/>
          <w:color w:val="000000" w:themeColor="text1"/>
        </w:rPr>
        <w:t>REGIONAL WATER QUALITY CONTROL BOARDS</w:t>
      </w:r>
      <w:r w:rsidR="00C54D06">
        <w:rPr>
          <w:b/>
          <w:bCs/>
          <w:color w:val="000000" w:themeColor="text1"/>
        </w:rPr>
        <w:br/>
      </w:r>
      <w:r w:rsidR="00C54D06" w:rsidRPr="00C54D06">
        <w:rPr>
          <w:i/>
          <w:iCs/>
          <w:color w:val="3A7C22" w:themeColor="accent6" w:themeShade="BF"/>
        </w:rPr>
        <w:t>Protect</w:t>
      </w:r>
      <w:r w:rsidR="009C1E95">
        <w:rPr>
          <w:i/>
          <w:iCs/>
          <w:color w:val="3A7C22" w:themeColor="accent6" w:themeShade="BF"/>
        </w:rPr>
        <w:t>s</w:t>
      </w:r>
      <w:r w:rsidR="00C54D06" w:rsidRPr="00C54D06">
        <w:rPr>
          <w:i/>
          <w:iCs/>
          <w:color w:val="3A7C22" w:themeColor="accent6" w:themeShade="BF"/>
        </w:rPr>
        <w:t xml:space="preserve"> the state’s waterways and drinking water.</w:t>
      </w:r>
    </w:p>
    <w:p w14:paraId="4154C9A5" w14:textId="0D7037F9" w:rsidR="009B0AB1" w:rsidRPr="009B0AB1" w:rsidRDefault="009B0AB1" w:rsidP="009B0AB1">
      <w:pPr>
        <w:pStyle w:val="ListParagraph"/>
        <w:numPr>
          <w:ilvl w:val="0"/>
          <w:numId w:val="11"/>
        </w:numPr>
        <w:rPr>
          <w:color w:val="000000" w:themeColor="text1"/>
        </w:rPr>
      </w:pPr>
      <w:r w:rsidRPr="009B0AB1">
        <w:rPr>
          <w:color w:val="3A7C22" w:themeColor="accent6" w:themeShade="BF"/>
        </w:rPr>
        <w:t xml:space="preserve">FOCUS: </w:t>
      </w:r>
      <w:r>
        <w:rPr>
          <w:color w:val="000000" w:themeColor="text1"/>
        </w:rPr>
        <w:t>Water quality and environmental public health.</w:t>
      </w:r>
    </w:p>
    <w:p w14:paraId="01429B0C" w14:textId="53D49BB2" w:rsidR="00C54D06" w:rsidRDefault="00BB3D9C" w:rsidP="00BB3D9C">
      <w:pPr>
        <w:pStyle w:val="ListParagraph"/>
        <w:numPr>
          <w:ilvl w:val="0"/>
          <w:numId w:val="11"/>
        </w:numPr>
        <w:rPr>
          <w:color w:val="000000" w:themeColor="text1"/>
        </w:rPr>
      </w:pPr>
      <w:r w:rsidRPr="009B0AB1">
        <w:rPr>
          <w:color w:val="3A7C22" w:themeColor="accent6" w:themeShade="BF"/>
        </w:rPr>
        <w:t xml:space="preserve">ROLE &amp; AUTHORITY: </w:t>
      </w:r>
      <w:r w:rsidR="00E44AD1">
        <w:rPr>
          <w:color w:val="000000" w:themeColor="text1"/>
        </w:rPr>
        <w:t xml:space="preserve">The Central Coast and Central Valley Regional Water Quality Control Boards </w:t>
      </w:r>
      <w:r w:rsidR="006D19C5">
        <w:rPr>
          <w:color w:val="000000" w:themeColor="text1"/>
        </w:rPr>
        <w:t>o</w:t>
      </w:r>
      <w:r w:rsidR="00C54D06">
        <w:rPr>
          <w:color w:val="000000" w:themeColor="text1"/>
        </w:rPr>
        <w:t>versee water resources for the State of California</w:t>
      </w:r>
      <w:r w:rsidR="00B96824">
        <w:rPr>
          <w:color w:val="000000" w:themeColor="text1"/>
        </w:rPr>
        <w:t xml:space="preserve"> within their respective jurisdictions, implementing</w:t>
      </w:r>
      <w:r w:rsidR="00C54D06">
        <w:rPr>
          <w:color w:val="000000" w:themeColor="text1"/>
        </w:rPr>
        <w:t xml:space="preserve"> the Clean Water Act</w:t>
      </w:r>
      <w:r w:rsidR="00B96824">
        <w:rPr>
          <w:color w:val="000000" w:themeColor="text1"/>
        </w:rPr>
        <w:t xml:space="preserve"> and the Porter-Cologne Water Quality Control Act.  The Regional Water Boards</w:t>
      </w:r>
      <w:r w:rsidR="00154941">
        <w:rPr>
          <w:color w:val="000000" w:themeColor="text1"/>
        </w:rPr>
        <w:t xml:space="preserve"> </w:t>
      </w:r>
      <w:r w:rsidR="002D5EB6">
        <w:rPr>
          <w:color w:val="000000" w:themeColor="text1"/>
        </w:rPr>
        <w:t>regulate</w:t>
      </w:r>
      <w:r w:rsidR="009B0AB1">
        <w:rPr>
          <w:color w:val="000000" w:themeColor="text1"/>
        </w:rPr>
        <w:t xml:space="preserve"> the</w:t>
      </w:r>
      <w:r w:rsidR="00C54D06">
        <w:rPr>
          <w:color w:val="000000" w:themeColor="text1"/>
        </w:rPr>
        <w:t xml:space="preserve"> discharge of waste</w:t>
      </w:r>
      <w:r w:rsidR="002D5EB6">
        <w:rPr>
          <w:color w:val="000000" w:themeColor="text1"/>
        </w:rPr>
        <w:t>, such as</w:t>
      </w:r>
      <w:r w:rsidR="00C54D06">
        <w:rPr>
          <w:color w:val="000000" w:themeColor="text1"/>
        </w:rPr>
        <w:t xml:space="preserve"> sediment</w:t>
      </w:r>
      <w:r w:rsidR="00DB51DD">
        <w:rPr>
          <w:color w:val="000000" w:themeColor="text1"/>
        </w:rPr>
        <w:t>,</w:t>
      </w:r>
      <w:r w:rsidR="00C54D06">
        <w:rPr>
          <w:color w:val="000000" w:themeColor="text1"/>
        </w:rPr>
        <w:t xml:space="preserve"> that could occur during pipeline repair or construction. This includes </w:t>
      </w:r>
      <w:r w:rsidR="00DB51DD">
        <w:rPr>
          <w:color w:val="000000" w:themeColor="text1"/>
        </w:rPr>
        <w:t>issuing</w:t>
      </w:r>
      <w:r w:rsidR="00C54D06">
        <w:rPr>
          <w:color w:val="000000" w:themeColor="text1"/>
        </w:rPr>
        <w:t xml:space="preserve"> permits for dredging</w:t>
      </w:r>
      <w:r w:rsidR="00154941">
        <w:rPr>
          <w:color w:val="000000" w:themeColor="text1"/>
        </w:rPr>
        <w:t xml:space="preserve"> </w:t>
      </w:r>
      <w:r w:rsidR="00C54D06">
        <w:rPr>
          <w:color w:val="000000" w:themeColor="text1"/>
        </w:rPr>
        <w:t>and land disturbances</w:t>
      </w:r>
      <w:r w:rsidR="00A3189E">
        <w:rPr>
          <w:color w:val="000000" w:themeColor="text1"/>
        </w:rPr>
        <w:t xml:space="preserve">, and discharges of </w:t>
      </w:r>
      <w:r w:rsidR="002C14CE">
        <w:rPr>
          <w:color w:val="000000" w:themeColor="text1"/>
        </w:rPr>
        <w:t>waste and stormwater</w:t>
      </w:r>
      <w:r w:rsidR="00C54D06">
        <w:rPr>
          <w:color w:val="000000" w:themeColor="text1"/>
        </w:rPr>
        <w:t xml:space="preserve">. </w:t>
      </w:r>
    </w:p>
    <w:p w14:paraId="51C90F31" w14:textId="77777777" w:rsidR="00C54D06" w:rsidRPr="009B0AB1" w:rsidRDefault="00C54D06" w:rsidP="00BB3D9C">
      <w:pPr>
        <w:pStyle w:val="ListParagraph"/>
        <w:numPr>
          <w:ilvl w:val="0"/>
          <w:numId w:val="11"/>
        </w:numPr>
        <w:rPr>
          <w:color w:val="3A7C22" w:themeColor="accent6" w:themeShade="BF"/>
        </w:rPr>
      </w:pPr>
      <w:r w:rsidRPr="009B0AB1">
        <w:rPr>
          <w:color w:val="3A7C22" w:themeColor="accent6" w:themeShade="BF"/>
        </w:rPr>
        <w:t>ACTIONS UNDERWAY:</w:t>
      </w:r>
    </w:p>
    <w:p w14:paraId="094E95D1" w14:textId="179891E8" w:rsidR="006C0BE2" w:rsidRDefault="00AD577F" w:rsidP="00C54D06">
      <w:pPr>
        <w:pStyle w:val="ListParagraph"/>
        <w:numPr>
          <w:ilvl w:val="1"/>
          <w:numId w:val="11"/>
        </w:numPr>
        <w:rPr>
          <w:color w:val="000000" w:themeColor="text1"/>
        </w:rPr>
      </w:pPr>
      <w:r w:rsidRPr="007E6BC2">
        <w:rPr>
          <w:i/>
          <w:iCs/>
          <w:color w:val="000000" w:themeColor="text1"/>
        </w:rPr>
        <w:t>On December 13, 2024</w:t>
      </w:r>
      <w:r>
        <w:rPr>
          <w:color w:val="000000" w:themeColor="text1"/>
        </w:rPr>
        <w:t>, f</w:t>
      </w:r>
      <w:r w:rsidR="00C54D06">
        <w:rPr>
          <w:color w:val="000000" w:themeColor="text1"/>
        </w:rPr>
        <w:t>ollowing an inspection, the Central Coast Regional Water</w:t>
      </w:r>
      <w:r w:rsidR="00133E01">
        <w:rPr>
          <w:color w:val="000000" w:themeColor="text1"/>
        </w:rPr>
        <w:t xml:space="preserve"> Quality</w:t>
      </w:r>
      <w:r w:rsidR="00C54D06">
        <w:rPr>
          <w:color w:val="000000" w:themeColor="text1"/>
        </w:rPr>
        <w:t xml:space="preserve"> Board issued violation and non-compliance notices for unauthorized waste discharge into Santa Barbara County waterways</w:t>
      </w:r>
      <w:r w:rsidR="002C14CE">
        <w:rPr>
          <w:color w:val="000000" w:themeColor="text1"/>
        </w:rPr>
        <w:t>, as well as a directive to seek permit coverage</w:t>
      </w:r>
      <w:r w:rsidR="00C54D06">
        <w:rPr>
          <w:color w:val="000000" w:themeColor="text1"/>
        </w:rPr>
        <w:t xml:space="preserve">. Sable must </w:t>
      </w:r>
      <w:r w:rsidR="000A5F71">
        <w:rPr>
          <w:color w:val="000000" w:themeColor="text1"/>
        </w:rPr>
        <w:t>take corrective action</w:t>
      </w:r>
      <w:r w:rsidR="003D016F">
        <w:rPr>
          <w:color w:val="000000" w:themeColor="text1"/>
        </w:rPr>
        <w:t xml:space="preserve">, </w:t>
      </w:r>
      <w:r w:rsidR="00C54D06">
        <w:rPr>
          <w:color w:val="000000" w:themeColor="text1"/>
        </w:rPr>
        <w:t>submit a waste discharge report</w:t>
      </w:r>
      <w:r w:rsidR="003D016F">
        <w:rPr>
          <w:color w:val="000000" w:themeColor="text1"/>
        </w:rPr>
        <w:t>,</w:t>
      </w:r>
      <w:r w:rsidR="00C54D06">
        <w:rPr>
          <w:color w:val="000000" w:themeColor="text1"/>
        </w:rPr>
        <w:t xml:space="preserve"> and </w:t>
      </w:r>
      <w:r w:rsidR="00027786">
        <w:rPr>
          <w:color w:val="000000" w:themeColor="text1"/>
        </w:rPr>
        <w:t>apply for</w:t>
      </w:r>
      <w:r w:rsidR="00C54D06">
        <w:rPr>
          <w:color w:val="000000" w:themeColor="text1"/>
        </w:rPr>
        <w:t xml:space="preserve"> appropriate permit</w:t>
      </w:r>
      <w:r w:rsidR="006D19C5">
        <w:rPr>
          <w:color w:val="000000" w:themeColor="text1"/>
        </w:rPr>
        <w:t>s</w:t>
      </w:r>
      <w:r w:rsidR="00C54D06">
        <w:rPr>
          <w:color w:val="000000" w:themeColor="text1"/>
        </w:rPr>
        <w:t>.</w:t>
      </w:r>
    </w:p>
    <w:p w14:paraId="7A3EA789" w14:textId="15A0518F" w:rsidR="006C0BE2" w:rsidRDefault="006C0BE2" w:rsidP="008E0997">
      <w:pPr>
        <w:pStyle w:val="ListParagraph"/>
        <w:numPr>
          <w:ilvl w:val="0"/>
          <w:numId w:val="11"/>
        </w:numPr>
        <w:spacing w:after="360"/>
      </w:pPr>
      <w:r>
        <w:rPr>
          <w:color w:val="3A7C22" w:themeColor="accent6" w:themeShade="BF"/>
        </w:rPr>
        <w:t xml:space="preserve">FOR </w:t>
      </w:r>
      <w:r w:rsidRPr="00E32DAD">
        <w:rPr>
          <w:color w:val="3A7C22" w:themeColor="accent6" w:themeShade="BF"/>
        </w:rPr>
        <w:t>MORE INFORMATION</w:t>
      </w:r>
      <w:r>
        <w:t xml:space="preserve">: </w:t>
      </w:r>
      <w:r>
        <w:rPr>
          <w:color w:val="000000" w:themeColor="text1"/>
        </w:rPr>
        <w:t xml:space="preserve">Contact the </w:t>
      </w:r>
      <w:hyperlink r:id="rId17" w:history="1">
        <w:r w:rsidRPr="006C0BE2">
          <w:rPr>
            <w:rStyle w:val="Hyperlink"/>
          </w:rPr>
          <w:t>State Water Resources Control Board</w:t>
        </w:r>
      </w:hyperlink>
      <w:r w:rsidR="006012E8">
        <w:rPr>
          <w:rStyle w:val="Hyperlink"/>
        </w:rPr>
        <w:t xml:space="preserve"> </w:t>
      </w:r>
      <w:r>
        <w:rPr>
          <w:color w:val="000000" w:themeColor="text1"/>
        </w:rPr>
        <w:t xml:space="preserve">at </w:t>
      </w:r>
      <w:hyperlink r:id="rId18" w:history="1">
        <w:r w:rsidRPr="00EE4192">
          <w:rPr>
            <w:rStyle w:val="Hyperlink"/>
          </w:rPr>
          <w:t>opa@waterboards.ca.gov</w:t>
        </w:r>
      </w:hyperlink>
      <w:r>
        <w:rPr>
          <w:color w:val="000000" w:themeColor="text1"/>
        </w:rPr>
        <w:t xml:space="preserve"> or (916) 341-5252. </w:t>
      </w:r>
    </w:p>
    <w:p w14:paraId="276B16F0" w14:textId="04663AFE" w:rsidR="008E0997" w:rsidRPr="00745C7D" w:rsidRDefault="008E0997" w:rsidP="008E0997">
      <w:pPr>
        <w:rPr>
          <w:i/>
          <w:iCs/>
          <w:color w:val="3A7C22" w:themeColor="accent6" w:themeShade="BF"/>
        </w:rPr>
      </w:pPr>
      <w:r>
        <w:rPr>
          <w:b/>
          <w:bCs/>
        </w:rPr>
        <w:t>STATE LANDS COMMISSION</w:t>
      </w:r>
      <w:r>
        <w:rPr>
          <w:b/>
          <w:bCs/>
        </w:rPr>
        <w:br/>
      </w:r>
      <w:r w:rsidRPr="00745C7D">
        <w:rPr>
          <w:i/>
          <w:iCs/>
          <w:color w:val="3A7C22" w:themeColor="accent6" w:themeShade="BF"/>
        </w:rPr>
        <w:t>Oversees and approves leases for offshore pipelines, piers, and buoys.</w:t>
      </w:r>
    </w:p>
    <w:p w14:paraId="525BAC2F" w14:textId="49A7DE73" w:rsidR="008E0997" w:rsidRDefault="008E0997" w:rsidP="008E0997">
      <w:pPr>
        <w:pStyle w:val="ListParagraph"/>
        <w:numPr>
          <w:ilvl w:val="0"/>
          <w:numId w:val="5"/>
        </w:numPr>
      </w:pPr>
      <w:r w:rsidRPr="00E650F5">
        <w:rPr>
          <w:color w:val="3A7C22" w:themeColor="accent6" w:themeShade="BF"/>
        </w:rPr>
        <w:t xml:space="preserve">FOCUS: </w:t>
      </w:r>
      <w:r>
        <w:t xml:space="preserve">Safety of </w:t>
      </w:r>
      <w:r w:rsidR="0020472F">
        <w:t xml:space="preserve">offshore </w:t>
      </w:r>
      <w:r>
        <w:t>pipeline</w:t>
      </w:r>
      <w:r w:rsidR="00E600B7">
        <w:t>s</w:t>
      </w:r>
      <w:r w:rsidR="001B5137">
        <w:t xml:space="preserve"> to shore</w:t>
      </w:r>
      <w:r>
        <w:t>, spill prevention, environmental protection.</w:t>
      </w:r>
    </w:p>
    <w:p w14:paraId="21E96D5A" w14:textId="53222CD9" w:rsidR="008E0997" w:rsidRDefault="008E0997" w:rsidP="008E0997">
      <w:pPr>
        <w:pStyle w:val="ListParagraph"/>
        <w:numPr>
          <w:ilvl w:val="0"/>
          <w:numId w:val="5"/>
        </w:numPr>
      </w:pPr>
      <w:r w:rsidRPr="73867461">
        <w:rPr>
          <w:color w:val="3A7C22" w:themeColor="accent6" w:themeShade="BF"/>
        </w:rPr>
        <w:t>ROLE &amp; AUTHORITY:</w:t>
      </w:r>
      <w:r>
        <w:t xml:space="preserve"> Under the Public Resources Code, the State Lands Commission must review and approve assignment of leases from the current owner (</w:t>
      </w:r>
      <w:proofErr w:type="spellStart"/>
      <w:r>
        <w:t>ExxonMobile</w:t>
      </w:r>
      <w:proofErr w:type="spellEnd"/>
      <w:r>
        <w:t xml:space="preserve">) to Sable for </w:t>
      </w:r>
      <w:r w:rsidR="001B5137">
        <w:t xml:space="preserve">offshore </w:t>
      </w:r>
      <w:r>
        <w:t>pipelines</w:t>
      </w:r>
      <w:r w:rsidR="001B5137">
        <w:t xml:space="preserve"> from federal platforms to shore</w:t>
      </w:r>
      <w:r>
        <w:t>, piers, and</w:t>
      </w:r>
      <w:r w:rsidR="00E600B7">
        <w:t xml:space="preserve"> mooring</w:t>
      </w:r>
      <w:r>
        <w:t xml:space="preserve"> buoys. Per this role and overview, Sable could restart the pipelines only if the terms and requirements of the current lease and operating agreements are met. This includes Sable performing detailed inspections of the pipeline line (in-line inspections), pressure testing (called hydrotesting), and using remotely operated vehicles to monitor the pipeline.</w:t>
      </w:r>
    </w:p>
    <w:p w14:paraId="1314ED37" w14:textId="77777777" w:rsidR="008E0997" w:rsidRPr="005E3A2E" w:rsidRDefault="008E0997" w:rsidP="008E0997">
      <w:pPr>
        <w:pStyle w:val="ListParagraph"/>
        <w:numPr>
          <w:ilvl w:val="0"/>
          <w:numId w:val="5"/>
        </w:numPr>
        <w:rPr>
          <w:color w:val="3A7C22" w:themeColor="accent6" w:themeShade="BF"/>
        </w:rPr>
      </w:pPr>
      <w:r w:rsidRPr="005E3A2E">
        <w:rPr>
          <w:color w:val="3A7C22" w:themeColor="accent6" w:themeShade="BF"/>
        </w:rPr>
        <w:t>ACTIONS UNDERWAY:</w:t>
      </w:r>
    </w:p>
    <w:p w14:paraId="24DD1074" w14:textId="77777777" w:rsidR="008E0997" w:rsidRDefault="008E0997" w:rsidP="008E0997">
      <w:pPr>
        <w:pStyle w:val="ListParagraph"/>
        <w:numPr>
          <w:ilvl w:val="1"/>
          <w:numId w:val="5"/>
        </w:numPr>
      </w:pPr>
      <w:r>
        <w:t>Ongoing review of assignment of leases as of December 20, 2024, with the most recent discussion at the State Lands Commission on December 17, 2024.</w:t>
      </w:r>
    </w:p>
    <w:p w14:paraId="4FCCF1D4" w14:textId="1CF20DA3" w:rsidR="008E0997" w:rsidRPr="008E0997" w:rsidRDefault="008E0997" w:rsidP="008E0997">
      <w:pPr>
        <w:pStyle w:val="ListParagraph"/>
        <w:numPr>
          <w:ilvl w:val="0"/>
          <w:numId w:val="5"/>
        </w:numPr>
      </w:pPr>
      <w:r>
        <w:rPr>
          <w:color w:val="3A7C22" w:themeColor="accent6" w:themeShade="BF"/>
        </w:rPr>
        <w:t xml:space="preserve">FOR </w:t>
      </w:r>
      <w:r w:rsidRPr="00E32DAD">
        <w:rPr>
          <w:color w:val="3A7C22" w:themeColor="accent6" w:themeShade="BF"/>
        </w:rPr>
        <w:t>MORE INFORMATION</w:t>
      </w:r>
      <w:r>
        <w:t xml:space="preserve">: </w:t>
      </w:r>
      <w:r>
        <w:rPr>
          <w:color w:val="000000" w:themeColor="text1"/>
        </w:rPr>
        <w:t xml:space="preserve">Contact the </w:t>
      </w:r>
      <w:hyperlink r:id="rId19" w:history="1">
        <w:r w:rsidRPr="00E83F73">
          <w:rPr>
            <w:rStyle w:val="Hyperlink"/>
          </w:rPr>
          <w:t>State Lands Commission</w:t>
        </w:r>
      </w:hyperlink>
      <w:r>
        <w:rPr>
          <w:color w:val="000000" w:themeColor="text1"/>
        </w:rPr>
        <w:t xml:space="preserve"> External Affairs at </w:t>
      </w:r>
      <w:hyperlink r:id="rId20" w:history="1">
        <w:r w:rsidRPr="00EE4192">
          <w:rPr>
            <w:rStyle w:val="Hyperlink"/>
          </w:rPr>
          <w:t>ExternalAffairsChief.Public@slc.ca.gov</w:t>
        </w:r>
      </w:hyperlink>
      <w:r w:rsidR="00154941">
        <w:rPr>
          <w:color w:val="000000" w:themeColor="text1"/>
        </w:rPr>
        <w:t xml:space="preserve"> or (916) 574-1992.</w:t>
      </w:r>
    </w:p>
    <w:p w14:paraId="69A33596" w14:textId="18950199" w:rsidR="001705C9" w:rsidRPr="008E0997" w:rsidRDefault="001705C9" w:rsidP="001705C9">
      <w:pPr>
        <w:rPr>
          <w:color w:val="000000" w:themeColor="text1"/>
        </w:rPr>
      </w:pPr>
    </w:p>
    <w:sectPr w:rsidR="001705C9" w:rsidRPr="008E099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1566" w14:textId="77777777" w:rsidR="004465F5" w:rsidRDefault="004465F5" w:rsidP="00E36B3C">
      <w:pPr>
        <w:spacing w:after="0" w:line="240" w:lineRule="auto"/>
      </w:pPr>
      <w:r>
        <w:separator/>
      </w:r>
    </w:p>
  </w:endnote>
  <w:endnote w:type="continuationSeparator" w:id="0">
    <w:p w14:paraId="410B6D1E" w14:textId="77777777" w:rsidR="004465F5" w:rsidRDefault="004465F5" w:rsidP="00E3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251838"/>
      <w:docPartObj>
        <w:docPartGallery w:val="Page Numbers (Bottom of Page)"/>
        <w:docPartUnique/>
      </w:docPartObj>
    </w:sdtPr>
    <w:sdtEndPr>
      <w:rPr>
        <w:noProof/>
      </w:rPr>
    </w:sdtEndPr>
    <w:sdtContent>
      <w:p w14:paraId="038B5E1A" w14:textId="2BDF2DE0" w:rsidR="00E36B3C" w:rsidRDefault="00E36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C2DAE" w14:textId="77777777" w:rsidR="00E36B3C" w:rsidRDefault="00E36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2A9D5" w14:textId="77777777" w:rsidR="004465F5" w:rsidRDefault="004465F5" w:rsidP="00E36B3C">
      <w:pPr>
        <w:spacing w:after="0" w:line="240" w:lineRule="auto"/>
      </w:pPr>
      <w:r>
        <w:separator/>
      </w:r>
    </w:p>
  </w:footnote>
  <w:footnote w:type="continuationSeparator" w:id="0">
    <w:p w14:paraId="4DBAF245" w14:textId="77777777" w:rsidR="004465F5" w:rsidRDefault="004465F5" w:rsidP="00E36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714A"/>
    <w:multiLevelType w:val="hybridMultilevel"/>
    <w:tmpl w:val="D1B82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36CC4"/>
    <w:multiLevelType w:val="hybridMultilevel"/>
    <w:tmpl w:val="D35AC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D3B43"/>
    <w:multiLevelType w:val="hybridMultilevel"/>
    <w:tmpl w:val="2966B416"/>
    <w:lvl w:ilvl="0" w:tplc="43742B8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C3D52"/>
    <w:multiLevelType w:val="hybridMultilevel"/>
    <w:tmpl w:val="768EC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FE4140"/>
    <w:multiLevelType w:val="hybridMultilevel"/>
    <w:tmpl w:val="D9704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724A5"/>
    <w:multiLevelType w:val="hybridMultilevel"/>
    <w:tmpl w:val="27E029B0"/>
    <w:lvl w:ilvl="0" w:tplc="87E02FB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43110"/>
    <w:multiLevelType w:val="hybridMultilevel"/>
    <w:tmpl w:val="04046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C1DBD"/>
    <w:multiLevelType w:val="hybridMultilevel"/>
    <w:tmpl w:val="1DE0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E0E02"/>
    <w:multiLevelType w:val="hybridMultilevel"/>
    <w:tmpl w:val="50A6791C"/>
    <w:lvl w:ilvl="0" w:tplc="CDA0053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E5DEC"/>
    <w:multiLevelType w:val="hybridMultilevel"/>
    <w:tmpl w:val="7CDA5768"/>
    <w:lvl w:ilvl="0" w:tplc="BB541B1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65D64"/>
    <w:multiLevelType w:val="hybridMultilevel"/>
    <w:tmpl w:val="0C241C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30AED"/>
    <w:multiLevelType w:val="hybridMultilevel"/>
    <w:tmpl w:val="CF5EFAAC"/>
    <w:lvl w:ilvl="0" w:tplc="47E6CDC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042BE"/>
    <w:multiLevelType w:val="hybridMultilevel"/>
    <w:tmpl w:val="B39E42C8"/>
    <w:lvl w:ilvl="0" w:tplc="7A20B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89846">
    <w:abstractNumId w:val="0"/>
  </w:num>
  <w:num w:numId="2" w16cid:durableId="1299190575">
    <w:abstractNumId w:val="3"/>
  </w:num>
  <w:num w:numId="3" w16cid:durableId="1664041500">
    <w:abstractNumId w:val="10"/>
  </w:num>
  <w:num w:numId="4" w16cid:durableId="1308439008">
    <w:abstractNumId w:val="1"/>
  </w:num>
  <w:num w:numId="5" w16cid:durableId="442312807">
    <w:abstractNumId w:val="5"/>
  </w:num>
  <w:num w:numId="6" w16cid:durableId="699285294">
    <w:abstractNumId w:val="2"/>
  </w:num>
  <w:num w:numId="7" w16cid:durableId="1751543834">
    <w:abstractNumId w:val="9"/>
  </w:num>
  <w:num w:numId="8" w16cid:durableId="1006975845">
    <w:abstractNumId w:val="8"/>
  </w:num>
  <w:num w:numId="9" w16cid:durableId="697900079">
    <w:abstractNumId w:val="11"/>
  </w:num>
  <w:num w:numId="10" w16cid:durableId="955988730">
    <w:abstractNumId w:val="7"/>
  </w:num>
  <w:num w:numId="11" w16cid:durableId="1418483193">
    <w:abstractNumId w:val="12"/>
  </w:num>
  <w:num w:numId="12" w16cid:durableId="78600125">
    <w:abstractNumId w:val="6"/>
  </w:num>
  <w:num w:numId="13" w16cid:durableId="1010179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F9"/>
    <w:rsid w:val="00002736"/>
    <w:rsid w:val="00011565"/>
    <w:rsid w:val="00015F73"/>
    <w:rsid w:val="00027786"/>
    <w:rsid w:val="00031716"/>
    <w:rsid w:val="00055C62"/>
    <w:rsid w:val="00063562"/>
    <w:rsid w:val="000662CE"/>
    <w:rsid w:val="000763EA"/>
    <w:rsid w:val="0008400A"/>
    <w:rsid w:val="00085980"/>
    <w:rsid w:val="00094750"/>
    <w:rsid w:val="00096919"/>
    <w:rsid w:val="000A5F71"/>
    <w:rsid w:val="000A642E"/>
    <w:rsid w:val="000B4191"/>
    <w:rsid w:val="000C68E0"/>
    <w:rsid w:val="000D78F9"/>
    <w:rsid w:val="000F6C4C"/>
    <w:rsid w:val="00101B6F"/>
    <w:rsid w:val="00110300"/>
    <w:rsid w:val="0012322C"/>
    <w:rsid w:val="0012607B"/>
    <w:rsid w:val="00133E01"/>
    <w:rsid w:val="001451E6"/>
    <w:rsid w:val="00150C2E"/>
    <w:rsid w:val="00154941"/>
    <w:rsid w:val="00155571"/>
    <w:rsid w:val="001617C2"/>
    <w:rsid w:val="00163239"/>
    <w:rsid w:val="00166E11"/>
    <w:rsid w:val="00167EF9"/>
    <w:rsid w:val="001705C9"/>
    <w:rsid w:val="00177D82"/>
    <w:rsid w:val="001A0A6B"/>
    <w:rsid w:val="001B2333"/>
    <w:rsid w:val="001B5137"/>
    <w:rsid w:val="001C73DB"/>
    <w:rsid w:val="001D04E4"/>
    <w:rsid w:val="001D20F7"/>
    <w:rsid w:val="001D6EE9"/>
    <w:rsid w:val="001E3B79"/>
    <w:rsid w:val="001F1612"/>
    <w:rsid w:val="00202668"/>
    <w:rsid w:val="0020472F"/>
    <w:rsid w:val="00205D96"/>
    <w:rsid w:val="0020765A"/>
    <w:rsid w:val="002129BB"/>
    <w:rsid w:val="002228B7"/>
    <w:rsid w:val="00246E74"/>
    <w:rsid w:val="002665B3"/>
    <w:rsid w:val="0027663F"/>
    <w:rsid w:val="002C14CE"/>
    <w:rsid w:val="002C3420"/>
    <w:rsid w:val="002D3801"/>
    <w:rsid w:val="002D5EB6"/>
    <w:rsid w:val="002E3063"/>
    <w:rsid w:val="002E3421"/>
    <w:rsid w:val="002F0069"/>
    <w:rsid w:val="002F1F45"/>
    <w:rsid w:val="0030021D"/>
    <w:rsid w:val="0031520B"/>
    <w:rsid w:val="00316309"/>
    <w:rsid w:val="00317174"/>
    <w:rsid w:val="00342C4E"/>
    <w:rsid w:val="003443A6"/>
    <w:rsid w:val="003453AE"/>
    <w:rsid w:val="00345552"/>
    <w:rsid w:val="00356F1D"/>
    <w:rsid w:val="00364213"/>
    <w:rsid w:val="003827BE"/>
    <w:rsid w:val="003D016F"/>
    <w:rsid w:val="003D40B6"/>
    <w:rsid w:val="003D51DB"/>
    <w:rsid w:val="003E3FEA"/>
    <w:rsid w:val="003E489A"/>
    <w:rsid w:val="003E4931"/>
    <w:rsid w:val="004073D8"/>
    <w:rsid w:val="004233E9"/>
    <w:rsid w:val="004277AA"/>
    <w:rsid w:val="004356B8"/>
    <w:rsid w:val="00436F75"/>
    <w:rsid w:val="00437C5A"/>
    <w:rsid w:val="00437CA4"/>
    <w:rsid w:val="004465F5"/>
    <w:rsid w:val="00475FED"/>
    <w:rsid w:val="00493A5E"/>
    <w:rsid w:val="004A2866"/>
    <w:rsid w:val="004B3F7E"/>
    <w:rsid w:val="004B53D0"/>
    <w:rsid w:val="004C4499"/>
    <w:rsid w:val="004E564D"/>
    <w:rsid w:val="004F7EBB"/>
    <w:rsid w:val="005053DD"/>
    <w:rsid w:val="00510B89"/>
    <w:rsid w:val="0051288C"/>
    <w:rsid w:val="00553CB9"/>
    <w:rsid w:val="005611B1"/>
    <w:rsid w:val="00561241"/>
    <w:rsid w:val="0056244D"/>
    <w:rsid w:val="005A44EE"/>
    <w:rsid w:val="005B4CEB"/>
    <w:rsid w:val="005B5431"/>
    <w:rsid w:val="005B5A5D"/>
    <w:rsid w:val="005B5B3B"/>
    <w:rsid w:val="005C75D2"/>
    <w:rsid w:val="005E2EE6"/>
    <w:rsid w:val="005E3A2E"/>
    <w:rsid w:val="005E3F26"/>
    <w:rsid w:val="005F343C"/>
    <w:rsid w:val="005F5E33"/>
    <w:rsid w:val="006012E8"/>
    <w:rsid w:val="006040F1"/>
    <w:rsid w:val="0061391C"/>
    <w:rsid w:val="006179C0"/>
    <w:rsid w:val="0062342D"/>
    <w:rsid w:val="00635129"/>
    <w:rsid w:val="006359A9"/>
    <w:rsid w:val="00635DD9"/>
    <w:rsid w:val="00646694"/>
    <w:rsid w:val="00665939"/>
    <w:rsid w:val="00683E11"/>
    <w:rsid w:val="00691CBE"/>
    <w:rsid w:val="006C0BE2"/>
    <w:rsid w:val="006C1910"/>
    <w:rsid w:val="006D19C5"/>
    <w:rsid w:val="006E05FA"/>
    <w:rsid w:val="006E61BD"/>
    <w:rsid w:val="006F2224"/>
    <w:rsid w:val="00704003"/>
    <w:rsid w:val="00711C3C"/>
    <w:rsid w:val="0073291B"/>
    <w:rsid w:val="00745C7D"/>
    <w:rsid w:val="007629BA"/>
    <w:rsid w:val="00777306"/>
    <w:rsid w:val="007917CB"/>
    <w:rsid w:val="00791B36"/>
    <w:rsid w:val="00791BF4"/>
    <w:rsid w:val="007A3E0D"/>
    <w:rsid w:val="007C3A25"/>
    <w:rsid w:val="007C522C"/>
    <w:rsid w:val="007D32FC"/>
    <w:rsid w:val="007D7661"/>
    <w:rsid w:val="007E6BC2"/>
    <w:rsid w:val="007E7896"/>
    <w:rsid w:val="007F3BBA"/>
    <w:rsid w:val="007F5C99"/>
    <w:rsid w:val="008027D3"/>
    <w:rsid w:val="00816AB2"/>
    <w:rsid w:val="008447CE"/>
    <w:rsid w:val="00844CB3"/>
    <w:rsid w:val="00870ED1"/>
    <w:rsid w:val="008810BA"/>
    <w:rsid w:val="00887F7C"/>
    <w:rsid w:val="00892AEC"/>
    <w:rsid w:val="00893DD6"/>
    <w:rsid w:val="008A3F80"/>
    <w:rsid w:val="008B37B7"/>
    <w:rsid w:val="008E0997"/>
    <w:rsid w:val="008E31BD"/>
    <w:rsid w:val="008F00B8"/>
    <w:rsid w:val="008F459D"/>
    <w:rsid w:val="009142C1"/>
    <w:rsid w:val="00916FC1"/>
    <w:rsid w:val="00934CB9"/>
    <w:rsid w:val="00936DBF"/>
    <w:rsid w:val="00940A1F"/>
    <w:rsid w:val="009648D9"/>
    <w:rsid w:val="00967797"/>
    <w:rsid w:val="00974979"/>
    <w:rsid w:val="00975CDE"/>
    <w:rsid w:val="00994DC7"/>
    <w:rsid w:val="009A3EDB"/>
    <w:rsid w:val="009B0AB1"/>
    <w:rsid w:val="009C093C"/>
    <w:rsid w:val="009C1D39"/>
    <w:rsid w:val="009C1E95"/>
    <w:rsid w:val="009E6241"/>
    <w:rsid w:val="009F22BA"/>
    <w:rsid w:val="009F631A"/>
    <w:rsid w:val="00A0160B"/>
    <w:rsid w:val="00A035A2"/>
    <w:rsid w:val="00A106D5"/>
    <w:rsid w:val="00A2446D"/>
    <w:rsid w:val="00A269F8"/>
    <w:rsid w:val="00A27B6F"/>
    <w:rsid w:val="00A3189E"/>
    <w:rsid w:val="00A41B34"/>
    <w:rsid w:val="00A52F66"/>
    <w:rsid w:val="00A56D9E"/>
    <w:rsid w:val="00A61FB7"/>
    <w:rsid w:val="00A62E9D"/>
    <w:rsid w:val="00A647F3"/>
    <w:rsid w:val="00A76ECB"/>
    <w:rsid w:val="00A83F40"/>
    <w:rsid w:val="00A840CF"/>
    <w:rsid w:val="00A9082C"/>
    <w:rsid w:val="00A91CC4"/>
    <w:rsid w:val="00A92B30"/>
    <w:rsid w:val="00AB40DA"/>
    <w:rsid w:val="00AD577F"/>
    <w:rsid w:val="00AF3FF9"/>
    <w:rsid w:val="00B31187"/>
    <w:rsid w:val="00B46847"/>
    <w:rsid w:val="00B522E5"/>
    <w:rsid w:val="00B56F91"/>
    <w:rsid w:val="00B82316"/>
    <w:rsid w:val="00B96824"/>
    <w:rsid w:val="00BB3D9C"/>
    <w:rsid w:val="00BD22E5"/>
    <w:rsid w:val="00BD2403"/>
    <w:rsid w:val="00BD3A86"/>
    <w:rsid w:val="00BD6B33"/>
    <w:rsid w:val="00C25213"/>
    <w:rsid w:val="00C35F71"/>
    <w:rsid w:val="00C4761B"/>
    <w:rsid w:val="00C54D06"/>
    <w:rsid w:val="00C64D83"/>
    <w:rsid w:val="00C657FA"/>
    <w:rsid w:val="00C7437F"/>
    <w:rsid w:val="00C8216F"/>
    <w:rsid w:val="00C83387"/>
    <w:rsid w:val="00C90C33"/>
    <w:rsid w:val="00CA159D"/>
    <w:rsid w:val="00CD792D"/>
    <w:rsid w:val="00CF4A44"/>
    <w:rsid w:val="00D04FDA"/>
    <w:rsid w:val="00D10724"/>
    <w:rsid w:val="00D20D31"/>
    <w:rsid w:val="00D22947"/>
    <w:rsid w:val="00D33617"/>
    <w:rsid w:val="00D46093"/>
    <w:rsid w:val="00D60DC3"/>
    <w:rsid w:val="00D717F6"/>
    <w:rsid w:val="00D866EF"/>
    <w:rsid w:val="00D911B5"/>
    <w:rsid w:val="00DB1020"/>
    <w:rsid w:val="00DB51DD"/>
    <w:rsid w:val="00DD4F5A"/>
    <w:rsid w:val="00DD51FB"/>
    <w:rsid w:val="00DD7C41"/>
    <w:rsid w:val="00DE43F5"/>
    <w:rsid w:val="00DF0824"/>
    <w:rsid w:val="00E00706"/>
    <w:rsid w:val="00E23DE5"/>
    <w:rsid w:val="00E32DAD"/>
    <w:rsid w:val="00E36B3C"/>
    <w:rsid w:val="00E44AD1"/>
    <w:rsid w:val="00E44E10"/>
    <w:rsid w:val="00E53219"/>
    <w:rsid w:val="00E600B7"/>
    <w:rsid w:val="00E650F5"/>
    <w:rsid w:val="00E738E3"/>
    <w:rsid w:val="00E832C0"/>
    <w:rsid w:val="00E83F73"/>
    <w:rsid w:val="00E9359B"/>
    <w:rsid w:val="00EA22A2"/>
    <w:rsid w:val="00EB09B4"/>
    <w:rsid w:val="00EC7A22"/>
    <w:rsid w:val="00EE45FF"/>
    <w:rsid w:val="00EF03D0"/>
    <w:rsid w:val="00EF1118"/>
    <w:rsid w:val="00EF6238"/>
    <w:rsid w:val="00F156DC"/>
    <w:rsid w:val="00F3420F"/>
    <w:rsid w:val="00F36F34"/>
    <w:rsid w:val="00F404F0"/>
    <w:rsid w:val="00F437E2"/>
    <w:rsid w:val="00F45B52"/>
    <w:rsid w:val="00F47696"/>
    <w:rsid w:val="00F64990"/>
    <w:rsid w:val="00F64C94"/>
    <w:rsid w:val="00F67364"/>
    <w:rsid w:val="00F723E0"/>
    <w:rsid w:val="00F75024"/>
    <w:rsid w:val="00F82382"/>
    <w:rsid w:val="00FA09E9"/>
    <w:rsid w:val="00FB2ED5"/>
    <w:rsid w:val="00FC2775"/>
    <w:rsid w:val="00FC4E4A"/>
    <w:rsid w:val="00FD133F"/>
    <w:rsid w:val="00FE7DD0"/>
    <w:rsid w:val="00FF02E2"/>
    <w:rsid w:val="0253BB35"/>
    <w:rsid w:val="06BEEC66"/>
    <w:rsid w:val="0DCBA3D5"/>
    <w:rsid w:val="0F2BD2C0"/>
    <w:rsid w:val="0F89256A"/>
    <w:rsid w:val="0FFCF55C"/>
    <w:rsid w:val="14DF6F8C"/>
    <w:rsid w:val="14F92AC4"/>
    <w:rsid w:val="18281DF6"/>
    <w:rsid w:val="18E1EF36"/>
    <w:rsid w:val="19FCD813"/>
    <w:rsid w:val="1B8821D0"/>
    <w:rsid w:val="1EB28160"/>
    <w:rsid w:val="1ED8135D"/>
    <w:rsid w:val="1FBED2E4"/>
    <w:rsid w:val="21435818"/>
    <w:rsid w:val="231C89A9"/>
    <w:rsid w:val="2B617F24"/>
    <w:rsid w:val="2DB0B65F"/>
    <w:rsid w:val="316F4332"/>
    <w:rsid w:val="3423D286"/>
    <w:rsid w:val="36583235"/>
    <w:rsid w:val="38A05C57"/>
    <w:rsid w:val="39C94A87"/>
    <w:rsid w:val="3AC16540"/>
    <w:rsid w:val="3E11F4CD"/>
    <w:rsid w:val="4284D9EB"/>
    <w:rsid w:val="47354650"/>
    <w:rsid w:val="4ABD7B9B"/>
    <w:rsid w:val="4C61C295"/>
    <w:rsid w:val="4CD2DADC"/>
    <w:rsid w:val="54514215"/>
    <w:rsid w:val="54C1DC9E"/>
    <w:rsid w:val="56BECDB4"/>
    <w:rsid w:val="5D677671"/>
    <w:rsid w:val="617BB5A2"/>
    <w:rsid w:val="6524727F"/>
    <w:rsid w:val="664CE373"/>
    <w:rsid w:val="6707727A"/>
    <w:rsid w:val="679495F8"/>
    <w:rsid w:val="67977305"/>
    <w:rsid w:val="68211BF8"/>
    <w:rsid w:val="68811743"/>
    <w:rsid w:val="6D327982"/>
    <w:rsid w:val="6D98B807"/>
    <w:rsid w:val="6DD7210F"/>
    <w:rsid w:val="70140243"/>
    <w:rsid w:val="71AEAE4A"/>
    <w:rsid w:val="73867461"/>
    <w:rsid w:val="75AB8B3A"/>
    <w:rsid w:val="76428A21"/>
    <w:rsid w:val="7E4D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9F5A"/>
  <w15:chartTrackingRefBased/>
  <w15:docId w15:val="{EEE536F0-ABA5-4E3A-96D4-BB7CF5AF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FF9"/>
    <w:rPr>
      <w:rFonts w:eastAsiaTheme="majorEastAsia" w:cstheme="majorBidi"/>
      <w:color w:val="272727" w:themeColor="text1" w:themeTint="D8"/>
    </w:rPr>
  </w:style>
  <w:style w:type="paragraph" w:styleId="Title">
    <w:name w:val="Title"/>
    <w:basedOn w:val="Normal"/>
    <w:next w:val="Normal"/>
    <w:link w:val="TitleChar"/>
    <w:uiPriority w:val="10"/>
    <w:qFormat/>
    <w:rsid w:val="00AF3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FF9"/>
    <w:pPr>
      <w:spacing w:before="160"/>
      <w:jc w:val="center"/>
    </w:pPr>
    <w:rPr>
      <w:i/>
      <w:iCs/>
      <w:color w:val="404040" w:themeColor="text1" w:themeTint="BF"/>
    </w:rPr>
  </w:style>
  <w:style w:type="character" w:customStyle="1" w:styleId="QuoteChar">
    <w:name w:val="Quote Char"/>
    <w:basedOn w:val="DefaultParagraphFont"/>
    <w:link w:val="Quote"/>
    <w:uiPriority w:val="29"/>
    <w:rsid w:val="00AF3FF9"/>
    <w:rPr>
      <w:i/>
      <w:iCs/>
      <w:color w:val="404040" w:themeColor="text1" w:themeTint="BF"/>
    </w:rPr>
  </w:style>
  <w:style w:type="paragraph" w:styleId="ListParagraph">
    <w:name w:val="List Paragraph"/>
    <w:basedOn w:val="Normal"/>
    <w:uiPriority w:val="34"/>
    <w:qFormat/>
    <w:rsid w:val="00AF3FF9"/>
    <w:pPr>
      <w:ind w:left="720"/>
      <w:contextualSpacing/>
    </w:pPr>
  </w:style>
  <w:style w:type="character" w:styleId="IntenseEmphasis">
    <w:name w:val="Intense Emphasis"/>
    <w:basedOn w:val="DefaultParagraphFont"/>
    <w:uiPriority w:val="21"/>
    <w:qFormat/>
    <w:rsid w:val="00AF3FF9"/>
    <w:rPr>
      <w:i/>
      <w:iCs/>
      <w:color w:val="0F4761" w:themeColor="accent1" w:themeShade="BF"/>
    </w:rPr>
  </w:style>
  <w:style w:type="paragraph" w:styleId="IntenseQuote">
    <w:name w:val="Intense Quote"/>
    <w:basedOn w:val="Normal"/>
    <w:next w:val="Normal"/>
    <w:link w:val="IntenseQuoteChar"/>
    <w:uiPriority w:val="30"/>
    <w:qFormat/>
    <w:rsid w:val="00AF3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FF9"/>
    <w:rPr>
      <w:i/>
      <w:iCs/>
      <w:color w:val="0F4761" w:themeColor="accent1" w:themeShade="BF"/>
    </w:rPr>
  </w:style>
  <w:style w:type="character" w:styleId="IntenseReference">
    <w:name w:val="Intense Reference"/>
    <w:basedOn w:val="DefaultParagraphFont"/>
    <w:uiPriority w:val="32"/>
    <w:qFormat/>
    <w:rsid w:val="00AF3FF9"/>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37CA4"/>
    <w:pPr>
      <w:spacing w:after="0" w:line="240" w:lineRule="auto"/>
    </w:pPr>
  </w:style>
  <w:style w:type="paragraph" w:styleId="CommentSubject">
    <w:name w:val="annotation subject"/>
    <w:basedOn w:val="CommentText"/>
    <w:next w:val="CommentText"/>
    <w:link w:val="CommentSubjectChar"/>
    <w:uiPriority w:val="99"/>
    <w:semiHidden/>
    <w:unhideWhenUsed/>
    <w:rsid w:val="00A61FB7"/>
    <w:rPr>
      <w:b/>
      <w:bCs/>
    </w:rPr>
  </w:style>
  <w:style w:type="character" w:customStyle="1" w:styleId="CommentSubjectChar">
    <w:name w:val="Comment Subject Char"/>
    <w:basedOn w:val="CommentTextChar"/>
    <w:link w:val="CommentSubject"/>
    <w:uiPriority w:val="99"/>
    <w:semiHidden/>
    <w:rsid w:val="00A61FB7"/>
    <w:rPr>
      <w:b/>
      <w:bCs/>
      <w:sz w:val="20"/>
      <w:szCs w:val="20"/>
    </w:rPr>
  </w:style>
  <w:style w:type="character" w:styleId="Hyperlink">
    <w:name w:val="Hyperlink"/>
    <w:basedOn w:val="DefaultParagraphFont"/>
    <w:uiPriority w:val="99"/>
    <w:unhideWhenUsed/>
    <w:rsid w:val="00E32DAD"/>
    <w:rPr>
      <w:color w:val="467886" w:themeColor="hyperlink"/>
      <w:u w:val="single"/>
    </w:rPr>
  </w:style>
  <w:style w:type="character" w:styleId="UnresolvedMention">
    <w:name w:val="Unresolved Mention"/>
    <w:basedOn w:val="DefaultParagraphFont"/>
    <w:uiPriority w:val="99"/>
    <w:semiHidden/>
    <w:unhideWhenUsed/>
    <w:rsid w:val="00E32DAD"/>
    <w:rPr>
      <w:color w:val="605E5C"/>
      <w:shd w:val="clear" w:color="auto" w:fill="E1DFDD"/>
    </w:rPr>
  </w:style>
  <w:style w:type="character" w:styleId="FollowedHyperlink">
    <w:name w:val="FollowedHyperlink"/>
    <w:basedOn w:val="DefaultParagraphFont"/>
    <w:uiPriority w:val="99"/>
    <w:semiHidden/>
    <w:unhideWhenUsed/>
    <w:rsid w:val="006012E8"/>
    <w:rPr>
      <w:color w:val="96607D" w:themeColor="followedHyperlink"/>
      <w:u w:val="single"/>
    </w:rPr>
  </w:style>
  <w:style w:type="paragraph" w:styleId="Header">
    <w:name w:val="header"/>
    <w:basedOn w:val="Normal"/>
    <w:link w:val="HeaderChar"/>
    <w:uiPriority w:val="99"/>
    <w:unhideWhenUsed/>
    <w:rsid w:val="00E36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B3C"/>
  </w:style>
  <w:style w:type="paragraph" w:styleId="Footer">
    <w:name w:val="footer"/>
    <w:basedOn w:val="Normal"/>
    <w:link w:val="FooterChar"/>
    <w:uiPriority w:val="99"/>
    <w:unhideWhenUsed/>
    <w:rsid w:val="00E36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Staff@coastal.ca.gov" TargetMode="External"/><Relationship Id="rId13" Type="http://schemas.openxmlformats.org/officeDocument/2006/relationships/hyperlink" Target="https://www.fire.ca.gov/" TargetMode="External"/><Relationship Id="rId18" Type="http://schemas.openxmlformats.org/officeDocument/2006/relationships/hyperlink" Target="mailto:opa@waterboards.ca.go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astal.ca.gov/" TargetMode="External"/><Relationship Id="rId12" Type="http://schemas.openxmlformats.org/officeDocument/2006/relationships/hyperlink" Target="mailto:Steve.Gonzalez@wildlife.ca.gov" TargetMode="External"/><Relationship Id="rId17" Type="http://schemas.openxmlformats.org/officeDocument/2006/relationships/hyperlink" Target="https://www.waterboards.ca.gov/" TargetMode="External"/><Relationship Id="rId2" Type="http://schemas.openxmlformats.org/officeDocument/2006/relationships/styles" Target="styles.xml"/><Relationship Id="rId16" Type="http://schemas.openxmlformats.org/officeDocument/2006/relationships/hyperlink" Target="mailto:newsroom@parks.ca.gov" TargetMode="External"/><Relationship Id="rId20" Type="http://schemas.openxmlformats.org/officeDocument/2006/relationships/hyperlink" Target="mailto:ExternalAffairsChief.Public@slc.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dlife.ca.gov/" TargetMode="External"/><Relationship Id="rId5" Type="http://schemas.openxmlformats.org/officeDocument/2006/relationships/footnotes" Target="footnotes.xml"/><Relationship Id="rId15" Type="http://schemas.openxmlformats.org/officeDocument/2006/relationships/hyperlink" Target="https://www.parks.ca.gov/" TargetMode="External"/><Relationship Id="rId23" Type="http://schemas.openxmlformats.org/officeDocument/2006/relationships/theme" Target="theme/theme1.xml"/><Relationship Id="rId10" Type="http://schemas.openxmlformats.org/officeDocument/2006/relationships/hyperlink" Target="mailto:PAO@conservation.ca.gov" TargetMode="External"/><Relationship Id="rId19" Type="http://schemas.openxmlformats.org/officeDocument/2006/relationships/hyperlink" Target="https://www.slc.ca.gov/" TargetMode="External"/><Relationship Id="rId4" Type="http://schemas.openxmlformats.org/officeDocument/2006/relationships/webSettings" Target="webSettings.xml"/><Relationship Id="rId9" Type="http://schemas.openxmlformats.org/officeDocument/2006/relationships/hyperlink" Target="https://www.conservation.ca.gov/" TargetMode="External"/><Relationship Id="rId14" Type="http://schemas.openxmlformats.org/officeDocument/2006/relationships/hyperlink" Target="mailto:calfire.dutypio@fire.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Tony@CNRA</dc:creator>
  <cp:keywords/>
  <dc:description/>
  <cp:lastModifiedBy>Shimazu, Stephanie@CNRA</cp:lastModifiedBy>
  <cp:revision>4</cp:revision>
  <dcterms:created xsi:type="dcterms:W3CDTF">2025-01-13T20:54:00Z</dcterms:created>
  <dcterms:modified xsi:type="dcterms:W3CDTF">2025-01-13T20:57:00Z</dcterms:modified>
</cp:coreProperties>
</file>